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23" w:rsidRDefault="00AD5E46" w:rsidP="00172AAD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AD5E46">
        <w:rPr>
          <w:rFonts w:ascii="Arial" w:hAnsi="Arial" w:cs="Arial"/>
          <w:b/>
        </w:rPr>
        <w:t>Título</w:t>
      </w:r>
      <w:r>
        <w:rPr>
          <w:rFonts w:ascii="Arial" w:hAnsi="Arial" w:cs="Arial"/>
        </w:rPr>
        <w:t xml:space="preserve">: </w:t>
      </w:r>
      <w:r w:rsidR="00731E23">
        <w:rPr>
          <w:rFonts w:ascii="Arial" w:hAnsi="Arial" w:cs="Arial"/>
        </w:rPr>
        <w:t>Mille</w:t>
      </w:r>
      <w:r w:rsidR="00172AAD">
        <w:rPr>
          <w:rFonts w:ascii="Arial" w:hAnsi="Arial" w:cs="Arial"/>
        </w:rPr>
        <w:t>n</w:t>
      </w:r>
      <w:r w:rsidR="00731E23">
        <w:rPr>
          <w:rFonts w:ascii="Arial" w:hAnsi="Arial" w:cs="Arial"/>
        </w:rPr>
        <w:t>nials, ¿Cómo enseñan?</w:t>
      </w:r>
    </w:p>
    <w:p w:rsidR="00731E23" w:rsidRDefault="00731E23" w:rsidP="00172AAD">
      <w:pPr>
        <w:spacing w:line="360" w:lineRule="auto"/>
        <w:jc w:val="both"/>
        <w:rPr>
          <w:rFonts w:ascii="Arial" w:hAnsi="Arial" w:cs="Arial"/>
          <w:b/>
        </w:rPr>
      </w:pPr>
      <w:r w:rsidRPr="00AD5E46">
        <w:rPr>
          <w:rFonts w:ascii="Arial" w:hAnsi="Arial" w:cs="Arial"/>
          <w:b/>
        </w:rPr>
        <w:t>Autor</w:t>
      </w:r>
      <w:r w:rsidR="00C77530" w:rsidRPr="00AD5E46">
        <w:rPr>
          <w:rFonts w:ascii="Arial" w:hAnsi="Arial" w:cs="Arial"/>
          <w:b/>
        </w:rPr>
        <w:t>/</w:t>
      </w:r>
      <w:r w:rsidRPr="00AD5E46">
        <w:rPr>
          <w:rFonts w:ascii="Arial" w:hAnsi="Arial" w:cs="Arial"/>
          <w:b/>
        </w:rPr>
        <w:t>es:</w:t>
      </w:r>
    </w:p>
    <w:p w:rsidR="00172AAD" w:rsidRPr="00172AAD" w:rsidRDefault="00172AAD" w:rsidP="00172AAD">
      <w:pPr>
        <w:spacing w:line="360" w:lineRule="auto"/>
        <w:jc w:val="both"/>
        <w:rPr>
          <w:rFonts w:ascii="Arial" w:hAnsi="Arial" w:cs="Arial"/>
          <w:b/>
          <w:lang w:val="it-IT"/>
        </w:rPr>
      </w:pPr>
      <w:r w:rsidRPr="00172AAD">
        <w:rPr>
          <w:rFonts w:ascii="Arial" w:hAnsi="Arial" w:cs="Arial"/>
          <w:b/>
          <w:lang w:val="it-IT"/>
        </w:rPr>
        <w:t>PONSELLA, Carlos Alberto</w:t>
      </w:r>
    </w:p>
    <w:p w:rsidR="00172AAD" w:rsidRPr="00172AAD" w:rsidRDefault="00172AAD" w:rsidP="00172AAD">
      <w:pPr>
        <w:spacing w:line="360" w:lineRule="auto"/>
        <w:jc w:val="both"/>
        <w:rPr>
          <w:rFonts w:ascii="Arial" w:hAnsi="Arial" w:cs="Arial"/>
          <w:b/>
          <w:lang w:val="it-IT"/>
        </w:rPr>
      </w:pPr>
      <w:r w:rsidRPr="00172AAD">
        <w:rPr>
          <w:rFonts w:ascii="Arial" w:hAnsi="Arial" w:cs="Arial"/>
          <w:b/>
          <w:lang w:val="it-IT"/>
        </w:rPr>
        <w:t>PICCO, Maria E</w:t>
      </w:r>
      <w:r>
        <w:rPr>
          <w:rFonts w:ascii="Arial" w:hAnsi="Arial" w:cs="Arial"/>
          <w:b/>
          <w:lang w:val="it-IT"/>
        </w:rPr>
        <w:t>ugenia</w:t>
      </w:r>
    </w:p>
    <w:p w:rsidR="00731E23" w:rsidRDefault="00731E23" w:rsidP="00172AAD">
      <w:pPr>
        <w:spacing w:line="360" w:lineRule="auto"/>
        <w:jc w:val="both"/>
        <w:rPr>
          <w:rFonts w:ascii="Arial" w:hAnsi="Arial" w:cs="Arial"/>
        </w:rPr>
      </w:pPr>
      <w:r w:rsidRPr="00AD5E46">
        <w:rPr>
          <w:rFonts w:ascii="Arial" w:hAnsi="Arial" w:cs="Arial"/>
          <w:b/>
        </w:rPr>
        <w:t>Filiación institucional:</w:t>
      </w:r>
      <w:r>
        <w:rPr>
          <w:rFonts w:ascii="Arial" w:hAnsi="Arial" w:cs="Arial"/>
        </w:rPr>
        <w:t xml:space="preserve"> UNC</w:t>
      </w:r>
    </w:p>
    <w:p w:rsidR="00037DA0" w:rsidRPr="00D35B25" w:rsidRDefault="00037DA0" w:rsidP="00172AAD">
      <w:pPr>
        <w:spacing w:line="360" w:lineRule="auto"/>
        <w:ind w:firstLine="284"/>
        <w:jc w:val="both"/>
        <w:rPr>
          <w:rFonts w:ascii="Arial" w:hAnsi="Arial" w:cs="Arial"/>
        </w:rPr>
      </w:pPr>
      <w:r w:rsidRPr="00731E23">
        <w:rPr>
          <w:rFonts w:ascii="Arial" w:hAnsi="Arial" w:cs="Arial"/>
        </w:rPr>
        <w:t>El presente trabajo realiza un recorrido por algunas metodologías de la enseñanza implementadas por la generación de los mille</w:t>
      </w:r>
      <w:r w:rsidR="00D35B25">
        <w:rPr>
          <w:rFonts w:ascii="Arial" w:hAnsi="Arial" w:cs="Arial"/>
        </w:rPr>
        <w:t>n</w:t>
      </w:r>
      <w:r w:rsidRPr="00731E23">
        <w:rPr>
          <w:rFonts w:ascii="Arial" w:hAnsi="Arial" w:cs="Arial"/>
        </w:rPr>
        <w:t>nials. La misma se encuentra delimitada en el marco del capítulo Metodología de la Enseñanza</w:t>
      </w:r>
      <w:r w:rsidR="001B6B62" w:rsidRPr="00731E23">
        <w:rPr>
          <w:rFonts w:ascii="Arial" w:hAnsi="Arial" w:cs="Arial"/>
        </w:rPr>
        <w:t xml:space="preserve"> del trabaj</w:t>
      </w:r>
      <w:r w:rsidR="00D35B25">
        <w:rPr>
          <w:rFonts w:ascii="Arial" w:hAnsi="Arial" w:cs="Arial"/>
        </w:rPr>
        <w:t xml:space="preserve">o de investigación denominado </w:t>
      </w:r>
      <w:r w:rsidR="00D35B25" w:rsidRPr="00D35B25">
        <w:rPr>
          <w:rFonts w:ascii="Arial" w:hAnsi="Arial" w:cs="Arial"/>
          <w:i/>
        </w:rPr>
        <w:t>Metodologías de enseñanza implementadas por profesores de diferentes generaciones – BabyBoomers, Generación X o Millennials- y la inclusión de las TIC</w:t>
      </w:r>
      <w:r w:rsidR="00D35B25">
        <w:rPr>
          <w:rFonts w:ascii="Arial" w:hAnsi="Arial" w:cs="Arial"/>
        </w:rPr>
        <w:t>, por lo que constituye un avance del proceso de investigación.</w:t>
      </w:r>
    </w:p>
    <w:p w:rsidR="00C84386" w:rsidRPr="00731E23" w:rsidRDefault="00C84386" w:rsidP="00172AAD">
      <w:pPr>
        <w:spacing w:line="360" w:lineRule="auto"/>
        <w:ind w:firstLine="284"/>
        <w:jc w:val="both"/>
        <w:rPr>
          <w:rFonts w:ascii="Arial" w:hAnsi="Arial" w:cs="Arial"/>
        </w:rPr>
      </w:pPr>
      <w:r w:rsidRPr="00731E23">
        <w:rPr>
          <w:rFonts w:ascii="Arial" w:hAnsi="Arial" w:cs="Arial"/>
        </w:rPr>
        <w:t>E</w:t>
      </w:r>
      <w:r w:rsidR="002641E7" w:rsidRPr="00731E23">
        <w:rPr>
          <w:rFonts w:ascii="Arial" w:hAnsi="Arial" w:cs="Arial"/>
        </w:rPr>
        <w:t xml:space="preserve">sta temática se presenta </w:t>
      </w:r>
      <w:r w:rsidRPr="00731E23">
        <w:rPr>
          <w:rFonts w:ascii="Arial" w:hAnsi="Arial" w:cs="Arial"/>
        </w:rPr>
        <w:t>relevante para el campo de la investigación considerando que la mayor parte de los estudios realizados en la actualidad giran en torno a las formas de aprender de los mille</w:t>
      </w:r>
      <w:r w:rsidR="00D35B25">
        <w:rPr>
          <w:rFonts w:ascii="Arial" w:hAnsi="Arial" w:cs="Arial"/>
        </w:rPr>
        <w:t>n</w:t>
      </w:r>
      <w:r w:rsidRPr="00731E23">
        <w:rPr>
          <w:rFonts w:ascii="Arial" w:hAnsi="Arial" w:cs="Arial"/>
        </w:rPr>
        <w:t>nials, aun así es destacable el estudio sobre las estrategias que esta generación está implementando en su práctica laboral puesto que, al pertenecer a un período que se encuentra de</w:t>
      </w:r>
      <w:r w:rsidR="000361DA">
        <w:rPr>
          <w:rFonts w:ascii="Arial" w:hAnsi="Arial" w:cs="Arial"/>
        </w:rPr>
        <w:t>l</w:t>
      </w:r>
      <w:r w:rsidRPr="00731E23">
        <w:rPr>
          <w:rFonts w:ascii="Arial" w:hAnsi="Arial" w:cs="Arial"/>
        </w:rPr>
        <w:t>i</w:t>
      </w:r>
      <w:r w:rsidR="000361DA">
        <w:rPr>
          <w:rFonts w:ascii="Arial" w:hAnsi="Arial" w:cs="Arial"/>
        </w:rPr>
        <w:t>m</w:t>
      </w:r>
      <w:r w:rsidRPr="00731E23">
        <w:rPr>
          <w:rFonts w:ascii="Arial" w:hAnsi="Arial" w:cs="Arial"/>
        </w:rPr>
        <w:t xml:space="preserve">itado según algunos autores </w:t>
      </w:r>
      <w:r w:rsidR="002641E7" w:rsidRPr="00731E23">
        <w:rPr>
          <w:rFonts w:ascii="Arial" w:hAnsi="Arial" w:cs="Arial"/>
        </w:rPr>
        <w:t>entre 197</w:t>
      </w:r>
      <w:r w:rsidRPr="00731E23">
        <w:rPr>
          <w:rFonts w:ascii="Arial" w:hAnsi="Arial" w:cs="Arial"/>
        </w:rPr>
        <w:t>7</w:t>
      </w:r>
      <w:r w:rsidR="000361DA">
        <w:rPr>
          <w:rFonts w:ascii="Arial" w:hAnsi="Arial" w:cs="Arial"/>
        </w:rPr>
        <w:t>/19</w:t>
      </w:r>
      <w:r w:rsidR="001B33E4" w:rsidRPr="00731E23">
        <w:rPr>
          <w:rFonts w:ascii="Arial" w:hAnsi="Arial" w:cs="Arial"/>
        </w:rPr>
        <w:t>80</w:t>
      </w:r>
      <w:r w:rsidRPr="00731E23">
        <w:rPr>
          <w:rFonts w:ascii="Arial" w:hAnsi="Arial" w:cs="Arial"/>
        </w:rPr>
        <w:t>-1995</w:t>
      </w:r>
      <w:r w:rsidR="001B33E4" w:rsidRPr="00731E23">
        <w:rPr>
          <w:rFonts w:ascii="Arial" w:hAnsi="Arial" w:cs="Arial"/>
        </w:rPr>
        <w:t>/2000</w:t>
      </w:r>
      <w:r w:rsidRPr="00731E23">
        <w:rPr>
          <w:rFonts w:ascii="Arial" w:hAnsi="Arial" w:cs="Arial"/>
        </w:rPr>
        <w:t>, la franja etaria que la constituye sería de entre 35-24 años aproximadamente, lo que indica que se en</w:t>
      </w:r>
      <w:r w:rsidR="00404489" w:rsidRPr="00731E23">
        <w:rPr>
          <w:rFonts w:ascii="Arial" w:hAnsi="Arial" w:cs="Arial"/>
        </w:rPr>
        <w:t>contrarían activos laboralmente, incorporando estrategias de administración</w:t>
      </w:r>
      <w:r w:rsidR="001B33E4" w:rsidRPr="00731E23">
        <w:rPr>
          <w:rFonts w:ascii="Arial" w:hAnsi="Arial" w:cs="Arial"/>
        </w:rPr>
        <w:t xml:space="preserve">de las instituciones </w:t>
      </w:r>
      <w:r w:rsidR="002641E7" w:rsidRPr="00731E23">
        <w:rPr>
          <w:rFonts w:ascii="Arial" w:hAnsi="Arial" w:cs="Arial"/>
        </w:rPr>
        <w:t>con particularidades diferentes de la</w:t>
      </w:r>
      <w:r w:rsidR="007C02A4" w:rsidRPr="00731E23">
        <w:rPr>
          <w:rFonts w:ascii="Arial" w:hAnsi="Arial" w:cs="Arial"/>
        </w:rPr>
        <w:t>s</w:t>
      </w:r>
      <w:r w:rsidR="000361DA">
        <w:rPr>
          <w:rFonts w:ascii="Arial" w:hAnsi="Arial" w:cs="Arial"/>
        </w:rPr>
        <w:t xml:space="preserve">que desarrollaron las </w:t>
      </w:r>
      <w:r w:rsidR="002641E7" w:rsidRPr="00731E23">
        <w:rPr>
          <w:rFonts w:ascii="Arial" w:hAnsi="Arial" w:cs="Arial"/>
        </w:rPr>
        <w:t>denominada</w:t>
      </w:r>
      <w:r w:rsidR="007C02A4" w:rsidRPr="00731E23">
        <w:rPr>
          <w:rFonts w:ascii="Arial" w:hAnsi="Arial" w:cs="Arial"/>
        </w:rPr>
        <w:t>s generacio</w:t>
      </w:r>
      <w:r w:rsidR="002641E7" w:rsidRPr="00731E23">
        <w:rPr>
          <w:rFonts w:ascii="Arial" w:hAnsi="Arial" w:cs="Arial"/>
        </w:rPr>
        <w:t>n</w:t>
      </w:r>
      <w:r w:rsidR="007C02A4" w:rsidRPr="00731E23">
        <w:rPr>
          <w:rFonts w:ascii="Arial" w:hAnsi="Arial" w:cs="Arial"/>
        </w:rPr>
        <w:t>es</w:t>
      </w:r>
      <w:r w:rsidR="002641E7" w:rsidRPr="00731E23">
        <w:rPr>
          <w:rFonts w:ascii="Arial" w:hAnsi="Arial" w:cs="Arial"/>
        </w:rPr>
        <w:t>BabyBoom</w:t>
      </w:r>
      <w:r w:rsidR="00FB5DA5">
        <w:rPr>
          <w:rFonts w:ascii="Arial" w:hAnsi="Arial" w:cs="Arial"/>
        </w:rPr>
        <w:t>ers</w:t>
      </w:r>
      <w:r w:rsidR="007C02A4" w:rsidRPr="00731E23">
        <w:rPr>
          <w:rFonts w:ascii="Arial" w:hAnsi="Arial" w:cs="Arial"/>
        </w:rPr>
        <w:t xml:space="preserve">y Generación X </w:t>
      </w:r>
      <w:r w:rsidR="002641E7" w:rsidRPr="00731E23">
        <w:rPr>
          <w:rFonts w:ascii="Arial" w:hAnsi="Arial" w:cs="Arial"/>
        </w:rPr>
        <w:t>quienes han posicionado las estructuras desde su perspectiva.</w:t>
      </w:r>
      <w:r w:rsidR="007C02A4" w:rsidRPr="00731E23">
        <w:rPr>
          <w:rFonts w:ascii="Arial" w:hAnsi="Arial" w:cs="Arial"/>
        </w:rPr>
        <w:t>En todo caso, conocer las estructuras de los mille</w:t>
      </w:r>
      <w:r w:rsidR="00D35B25">
        <w:rPr>
          <w:rFonts w:ascii="Arial" w:hAnsi="Arial" w:cs="Arial"/>
        </w:rPr>
        <w:t>n</w:t>
      </w:r>
      <w:r w:rsidR="007C02A4" w:rsidRPr="00731E23">
        <w:rPr>
          <w:rFonts w:ascii="Arial" w:hAnsi="Arial" w:cs="Arial"/>
        </w:rPr>
        <w:t>nials o Generación Y favorecerá la comprensión para el diálogo intergeneracional que se suscita en la actualidad.</w:t>
      </w:r>
    </w:p>
    <w:p w:rsidR="00C84386" w:rsidRPr="00731E23" w:rsidRDefault="00BE6635" w:rsidP="00172AAD">
      <w:pPr>
        <w:spacing w:line="360" w:lineRule="auto"/>
        <w:ind w:firstLine="284"/>
        <w:jc w:val="both"/>
        <w:rPr>
          <w:rFonts w:ascii="Arial" w:hAnsi="Arial" w:cs="Arial"/>
        </w:rPr>
      </w:pPr>
      <w:r w:rsidRPr="00731E23">
        <w:rPr>
          <w:rFonts w:ascii="Arial" w:hAnsi="Arial" w:cs="Arial"/>
        </w:rPr>
        <w:t>Est</w:t>
      </w:r>
      <w:r w:rsidR="00FA016C">
        <w:rPr>
          <w:rFonts w:ascii="Arial" w:hAnsi="Arial" w:cs="Arial"/>
        </w:rPr>
        <w:t>a presentación incluye la denominación de a quiénes se les llama mil</w:t>
      </w:r>
      <w:r w:rsidRPr="00731E23">
        <w:rPr>
          <w:rFonts w:ascii="Arial" w:hAnsi="Arial" w:cs="Arial"/>
        </w:rPr>
        <w:t>en</w:t>
      </w:r>
      <w:r w:rsidR="00172AAD">
        <w:rPr>
          <w:rFonts w:ascii="Arial" w:hAnsi="Arial" w:cs="Arial"/>
        </w:rPr>
        <w:t>n</w:t>
      </w:r>
      <w:r w:rsidRPr="00731E23">
        <w:rPr>
          <w:rFonts w:ascii="Arial" w:hAnsi="Arial" w:cs="Arial"/>
        </w:rPr>
        <w:t>ials, qué características los distinguen y cuáles son sus preferencias en el rol de educadores</w:t>
      </w:r>
      <w:r w:rsidR="00731E23" w:rsidRPr="00731E23">
        <w:rPr>
          <w:rFonts w:ascii="Arial" w:hAnsi="Arial" w:cs="Arial"/>
        </w:rPr>
        <w:t>.</w:t>
      </w:r>
    </w:p>
    <w:p w:rsidR="00285ED8" w:rsidRPr="00AD5E46" w:rsidRDefault="001B33E4" w:rsidP="00172AAD">
      <w:pPr>
        <w:spacing w:line="360" w:lineRule="auto"/>
        <w:jc w:val="both"/>
        <w:rPr>
          <w:rFonts w:ascii="Arial" w:hAnsi="Arial" w:cs="Arial"/>
          <w:b/>
        </w:rPr>
      </w:pPr>
      <w:r w:rsidRPr="00AD5E46">
        <w:rPr>
          <w:rFonts w:ascii="Arial" w:hAnsi="Arial" w:cs="Arial"/>
          <w:b/>
        </w:rPr>
        <w:t>Desarrollo</w:t>
      </w:r>
    </w:p>
    <w:p w:rsidR="00E94F44" w:rsidRPr="00DC2542" w:rsidRDefault="00E339B9" w:rsidP="00172AAD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DC2542">
        <w:rPr>
          <w:rFonts w:ascii="Arial" w:hAnsi="Arial" w:cs="Arial"/>
          <w:b/>
          <w:i/>
          <w:sz w:val="24"/>
        </w:rPr>
        <w:t>¿Quiénes son los mille</w:t>
      </w:r>
      <w:r w:rsidR="00D35B25">
        <w:rPr>
          <w:rFonts w:ascii="Arial" w:hAnsi="Arial" w:cs="Arial"/>
          <w:b/>
          <w:i/>
          <w:sz w:val="24"/>
        </w:rPr>
        <w:t>n</w:t>
      </w:r>
      <w:r w:rsidRPr="00DC2542">
        <w:rPr>
          <w:rFonts w:ascii="Arial" w:hAnsi="Arial" w:cs="Arial"/>
          <w:b/>
          <w:i/>
          <w:sz w:val="24"/>
        </w:rPr>
        <w:t>nials?</w:t>
      </w:r>
    </w:p>
    <w:p w:rsidR="00E339B9" w:rsidRPr="00731E23" w:rsidRDefault="001B33E4" w:rsidP="00172AAD">
      <w:pPr>
        <w:spacing w:line="360" w:lineRule="auto"/>
        <w:ind w:firstLine="284"/>
        <w:jc w:val="both"/>
        <w:rPr>
          <w:rFonts w:ascii="Arial" w:hAnsi="Arial" w:cs="Arial"/>
        </w:rPr>
      </w:pPr>
      <w:r w:rsidRPr="00731E23">
        <w:rPr>
          <w:rFonts w:ascii="Arial" w:hAnsi="Arial" w:cs="Arial"/>
        </w:rPr>
        <w:t>Para responder a este interrogante será necesario tener en cuenta</w:t>
      </w:r>
      <w:r w:rsidR="00E23F15" w:rsidRPr="00731E23">
        <w:rPr>
          <w:rFonts w:ascii="Arial" w:hAnsi="Arial" w:cs="Arial"/>
        </w:rPr>
        <w:t xml:space="preserve"> la idea que generó el proyecto del fotógrafo Robert Capa durante la década del ´50 en el que entrevistó y fotografió a veinteañeros quienes “expresaban cuál era su presente en el </w:t>
      </w:r>
      <w:r w:rsidR="00E23F15" w:rsidRPr="00731E23">
        <w:rPr>
          <w:rFonts w:ascii="Arial" w:hAnsi="Arial" w:cs="Arial"/>
        </w:rPr>
        <w:lastRenderedPageBreak/>
        <w:t xml:space="preserve">mundo, su pasado y las esperanzas de futuro” </w:t>
      </w:r>
      <w:sdt>
        <w:sdtPr>
          <w:rPr>
            <w:rFonts w:ascii="Arial" w:hAnsi="Arial" w:cs="Arial"/>
          </w:rPr>
          <w:id w:val="2376957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 w:rsidR="00154216">
            <w:rPr>
              <w:rFonts w:ascii="Arial" w:hAnsi="Arial" w:cs="Arial"/>
            </w:rPr>
            <w:instrText xml:space="preserve"> CITATION Vel10 \p 370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(Vela-Valldecabres, 2010, pág. 370)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 w:rsidR="00154216">
        <w:rPr>
          <w:rFonts w:ascii="Arial" w:hAnsi="Arial" w:cs="Arial"/>
        </w:rPr>
        <w:t xml:space="preserve">. </w:t>
      </w:r>
      <w:r w:rsidR="00282DF7" w:rsidRPr="00731E23">
        <w:rPr>
          <w:rFonts w:ascii="Arial" w:hAnsi="Arial" w:cs="Arial"/>
        </w:rPr>
        <w:t>Esta fue la llamada Generación X que posteriormente dio origen a la denominación de las que le siguieron.</w:t>
      </w:r>
    </w:p>
    <w:p w:rsidR="00731E23" w:rsidRDefault="00731E23" w:rsidP="00172AAD">
      <w:pPr>
        <w:spacing w:line="360" w:lineRule="auto"/>
        <w:ind w:firstLine="284"/>
        <w:jc w:val="both"/>
        <w:rPr>
          <w:rFonts w:ascii="Arial" w:hAnsi="Arial" w:cs="Arial"/>
        </w:rPr>
      </w:pPr>
      <w:r w:rsidRPr="00731E23">
        <w:rPr>
          <w:rFonts w:ascii="Arial" w:hAnsi="Arial" w:cs="Arial"/>
        </w:rPr>
        <w:t>A continuación se ha recreado un cuadro comparativo con las principales características del entorno en el que se han desarrollado las distintas generaciones y que pone de manifiesto la diversidad de eventos que distingue a cada una de ellas.</w:t>
      </w:r>
    </w:p>
    <w:p w:rsidR="00C120ED" w:rsidRPr="00731E23" w:rsidRDefault="00C120ED" w:rsidP="00172AAD">
      <w:pPr>
        <w:spacing w:line="360" w:lineRule="auto"/>
        <w:ind w:firstLine="284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1459"/>
        <w:gridCol w:w="1295"/>
        <w:gridCol w:w="1546"/>
        <w:gridCol w:w="1808"/>
        <w:gridCol w:w="1295"/>
      </w:tblGrid>
      <w:tr w:rsidR="00424CE1" w:rsidRPr="00731E23" w:rsidTr="00424CE1">
        <w:tc>
          <w:tcPr>
            <w:tcW w:w="1243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Generación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98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Baby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Boomer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1946-1964</w:t>
            </w:r>
          </w:p>
        </w:tc>
        <w:tc>
          <w:tcPr>
            <w:tcW w:w="1237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Generación X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1965-1980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83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Generación Y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1981-1997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38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Generación Z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1998-2009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1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Generación alfa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2010-2025</w:t>
            </w:r>
          </w:p>
        </w:tc>
      </w:tr>
      <w:tr w:rsidR="00424CE1" w:rsidRPr="00731E23" w:rsidTr="00424CE1">
        <w:tc>
          <w:tcPr>
            <w:tcW w:w="1243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Contexto histórico – cultural</w:t>
            </w:r>
          </w:p>
        </w:tc>
        <w:tc>
          <w:tcPr>
            <w:tcW w:w="1498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Idealista,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pacifistas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Liberación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sexual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Libertad de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>expresión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 xml:space="preserve">Beatles,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 xml:space="preserve">Rolling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 xml:space="preserve">Stone, Elvis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>Priestley</w:t>
            </w:r>
          </w:p>
        </w:tc>
        <w:tc>
          <w:tcPr>
            <w:tcW w:w="1237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Guerra fría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Críticos activistas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Cultura de masas,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Trova, Nirvana,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Madonna, U2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Migrantes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>digitales</w:t>
            </w:r>
          </w:p>
        </w:tc>
        <w:tc>
          <w:tcPr>
            <w:tcW w:w="1583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Globalización,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Fin de la guerra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fría, 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Revolución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digital,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Ambientalistas.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Primeros nativos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digitales. </w:t>
            </w:r>
          </w:p>
          <w:p w:rsidR="00424CE1" w:rsidRPr="00205B35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05B35">
              <w:rPr>
                <w:rFonts w:ascii="Arial" w:hAnsi="Arial" w:cs="Arial"/>
                <w:sz w:val="20"/>
                <w:lang w:val="en-GB"/>
              </w:rPr>
              <w:t xml:space="preserve">Britney Spears, </w:t>
            </w:r>
          </w:p>
          <w:p w:rsidR="00424CE1" w:rsidRPr="00C120ED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C120ED">
              <w:rPr>
                <w:rFonts w:ascii="Arial" w:hAnsi="Arial" w:cs="Arial"/>
                <w:sz w:val="20"/>
                <w:lang w:val="en-US"/>
              </w:rPr>
              <w:t xml:space="preserve">Eminem, tecno, </w:t>
            </w:r>
          </w:p>
          <w:p w:rsidR="00424CE1" w:rsidRPr="00C120ED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C120ED">
              <w:rPr>
                <w:rFonts w:ascii="Arial" w:hAnsi="Arial" w:cs="Arial"/>
                <w:sz w:val="20"/>
                <w:lang w:val="en-US"/>
              </w:rPr>
              <w:t>reggaeton</w:t>
            </w:r>
          </w:p>
        </w:tc>
        <w:tc>
          <w:tcPr>
            <w:tcW w:w="1838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>Ultramodernidad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11S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Guerra de Irak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Crisis financiera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2008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Nativos digitales,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Hiperconectados,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Mulitareas,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>Justin Bieber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>Emos</w:t>
            </w:r>
          </w:p>
        </w:tc>
        <w:tc>
          <w:tcPr>
            <w:tcW w:w="1321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Primavera árabe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2011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Era post panóptica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Hackers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Snowden.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>Wikileaks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Narcotráfico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Conciencia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ecológica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Hipsters, 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>Uber, Aibnd</w:t>
            </w:r>
          </w:p>
        </w:tc>
      </w:tr>
      <w:tr w:rsidR="00424CE1" w:rsidRPr="00F55A23" w:rsidTr="00424CE1">
        <w:tc>
          <w:tcPr>
            <w:tcW w:w="1243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D5E46">
              <w:rPr>
                <w:rFonts w:ascii="Arial" w:hAnsi="Arial" w:cs="Arial"/>
                <w:b/>
                <w:sz w:val="20"/>
              </w:rPr>
              <w:t>Contexto tecnológico</w:t>
            </w:r>
          </w:p>
        </w:tc>
        <w:tc>
          <w:tcPr>
            <w:tcW w:w="1498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Teléfono de 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radio, cine,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discos de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acetato,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cámara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polaroid,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primeras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>computadoras</w:t>
            </w:r>
          </w:p>
        </w:tc>
        <w:tc>
          <w:tcPr>
            <w:tcW w:w="1237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TV blanco y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negro, TV color,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TV por cable,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Beta, Atari,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celular,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Walkman,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>ARPA; LAN</w:t>
            </w:r>
          </w:p>
        </w:tc>
        <w:tc>
          <w:tcPr>
            <w:tcW w:w="1583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Teléfono de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teclas, beeper,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Nintendo,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Playstation, CD,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DVD, MTV,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Nickelodeon,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Discman, mp3,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www, Yahoo,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Hotmail,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 xml:space="preserve">Windows, email,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 xml:space="preserve">Chat, Webcam,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 xml:space="preserve">Disquete. 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>Web 1.0</w:t>
            </w:r>
          </w:p>
        </w:tc>
        <w:tc>
          <w:tcPr>
            <w:tcW w:w="1838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Cámaras digitales, 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Google,Wikipedia,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D5E46">
              <w:rPr>
                <w:rFonts w:ascii="Arial" w:hAnsi="Arial" w:cs="Arial"/>
                <w:sz w:val="20"/>
              </w:rPr>
              <w:t xml:space="preserve">YouTube, 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Celulares 3G,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GPS, Web 2.0,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Videochat,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Facebook, Twitter,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Ipod, Iphone,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SMS. USB,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Netbook, Ipad,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 xml:space="preserve">Gmail, Bluetooth,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 xml:space="preserve">Wireleses,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 xml:space="preserve">Routers,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>Geolocalizadores.</w:t>
            </w:r>
          </w:p>
        </w:tc>
        <w:tc>
          <w:tcPr>
            <w:tcW w:w="1321" w:type="dxa"/>
          </w:tcPr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Web 3.0 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>Touch, Cámara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frontal, Selfie,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Spotify, Whatsapp,  </w:t>
            </w:r>
          </w:p>
          <w:p w:rsidR="00424CE1" w:rsidRPr="00AD5E46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D5E46">
              <w:rPr>
                <w:rFonts w:ascii="Arial" w:hAnsi="Arial" w:cs="Arial"/>
                <w:sz w:val="20"/>
                <w:lang w:val="en-US"/>
              </w:rPr>
              <w:t xml:space="preserve">Waze, Big data, 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 xml:space="preserve">Netflix, Tinder,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 xml:space="preserve">Snapchat,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 xml:space="preserve">Instagram, </w:t>
            </w:r>
          </w:p>
          <w:p w:rsidR="00424CE1" w:rsidRPr="00923948" w:rsidRDefault="00424CE1" w:rsidP="00172AA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3948">
              <w:rPr>
                <w:rFonts w:ascii="Arial" w:hAnsi="Arial" w:cs="Arial"/>
                <w:sz w:val="20"/>
                <w:lang w:val="en-US"/>
              </w:rPr>
              <w:t>Iwatch</w:t>
            </w:r>
          </w:p>
        </w:tc>
      </w:tr>
    </w:tbl>
    <w:p w:rsidR="00424CE1" w:rsidRPr="00923948" w:rsidRDefault="00424CE1" w:rsidP="00172AAD">
      <w:pPr>
        <w:spacing w:line="360" w:lineRule="auto"/>
        <w:jc w:val="both"/>
        <w:rPr>
          <w:rFonts w:ascii="Arial" w:hAnsi="Arial" w:cs="Arial"/>
          <w:lang w:val="en-US"/>
        </w:rPr>
      </w:pPr>
    </w:p>
    <w:p w:rsidR="00282DF7" w:rsidRPr="00923948" w:rsidRDefault="00282DF7" w:rsidP="00172AAD">
      <w:pPr>
        <w:spacing w:line="360" w:lineRule="auto"/>
        <w:jc w:val="both"/>
        <w:rPr>
          <w:rFonts w:ascii="Arial" w:hAnsi="Arial" w:cs="Arial"/>
          <w:lang w:val="en-US"/>
        </w:rPr>
      </w:pPr>
    </w:p>
    <w:p w:rsidR="00282DF7" w:rsidRDefault="00AD5E46" w:rsidP="00172AAD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2DF7" w:rsidRPr="00731E23">
        <w:rPr>
          <w:rFonts w:ascii="Arial" w:hAnsi="Arial" w:cs="Arial"/>
        </w:rPr>
        <w:t>e conoce que los mille</w:t>
      </w:r>
      <w:r w:rsidR="00F23B94">
        <w:rPr>
          <w:rFonts w:ascii="Arial" w:hAnsi="Arial" w:cs="Arial"/>
        </w:rPr>
        <w:t>n</w:t>
      </w:r>
      <w:r w:rsidR="00282DF7" w:rsidRPr="00731E23">
        <w:rPr>
          <w:rFonts w:ascii="Arial" w:hAnsi="Arial" w:cs="Arial"/>
        </w:rPr>
        <w:t xml:space="preserve">nials, Gen Y, Net Gen, o Generación Y, </w:t>
      </w:r>
      <w:r w:rsidR="00460F10">
        <w:rPr>
          <w:rFonts w:ascii="Arial" w:hAnsi="Arial" w:cs="Arial"/>
        </w:rPr>
        <w:t>“</w:t>
      </w:r>
      <w:r w:rsidR="00282DF7" w:rsidRPr="00731E23">
        <w:rPr>
          <w:rFonts w:ascii="Arial" w:hAnsi="Arial" w:cs="Arial"/>
        </w:rPr>
        <w:t xml:space="preserve">son la primera generación </w:t>
      </w:r>
      <w:r>
        <w:rPr>
          <w:rFonts w:ascii="Arial" w:hAnsi="Arial" w:cs="Arial"/>
        </w:rPr>
        <w:t>que ha crecido con los</w:t>
      </w:r>
      <w:r w:rsidR="00282DF7" w:rsidRPr="00731E23">
        <w:rPr>
          <w:rFonts w:ascii="Arial" w:hAnsi="Arial" w:cs="Arial"/>
        </w:rPr>
        <w:t xml:space="preserve"> medios digitales y están  embebidos en estos  tipos  de dispositivos (…) </w:t>
      </w:r>
      <w:r w:rsidR="00460F10">
        <w:rPr>
          <w:rFonts w:ascii="Arial" w:hAnsi="Arial" w:cs="Arial"/>
        </w:rPr>
        <w:t>Son hábiles</w:t>
      </w:r>
      <w:r w:rsidR="00282DF7" w:rsidRPr="00731E23">
        <w:rPr>
          <w:rFonts w:ascii="Arial" w:hAnsi="Arial" w:cs="Arial"/>
        </w:rPr>
        <w:t xml:space="preserve"> suprimiendo los distractores, ignorando la información no relevante, seleccionando solo aquello que les interesa según su objetivo</w:t>
      </w:r>
      <w:r w:rsidR="00460F10">
        <w:rPr>
          <w:rFonts w:ascii="Arial" w:hAnsi="Arial" w:cs="Arial"/>
        </w:rPr>
        <w:t xml:space="preserve">” </w:t>
      </w:r>
      <w:sdt>
        <w:sdtPr>
          <w:rPr>
            <w:rFonts w:ascii="Arial" w:hAnsi="Arial" w:cs="Arial"/>
          </w:rPr>
          <w:id w:val="2376954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 w:rsidR="00923948">
            <w:rPr>
              <w:rFonts w:ascii="Arial" w:hAnsi="Arial" w:cs="Arial"/>
            </w:rPr>
            <w:instrText xml:space="preserve"> CITATION Cat15 \p 5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(Cataldi &amp; Dominighini, 2015, pág. 5)</w:t>
          </w:r>
          <w:r w:rsidR="0064162D">
            <w:rPr>
              <w:rFonts w:ascii="Arial" w:hAnsi="Arial" w:cs="Arial"/>
            </w:rPr>
            <w:fldChar w:fldCharType="end"/>
          </w:r>
        </w:sdtContent>
      </w:sdt>
    </w:p>
    <w:p w:rsidR="0031579C" w:rsidRPr="0031579C" w:rsidRDefault="00460F10" w:rsidP="00172AAD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Es decir que esta generación es la que abre la historia hacia una nueva forma de configuración del tiempo y del espacio</w:t>
      </w:r>
      <w:r w:rsidR="00921804">
        <w:rPr>
          <w:rFonts w:ascii="Arial" w:hAnsi="Arial" w:cs="Arial"/>
        </w:rPr>
        <w:t xml:space="preserve"> develando en sus integrantes nuevas habilidades innecesarias</w:t>
      </w:r>
      <w:r w:rsidR="0031579C">
        <w:rPr>
          <w:rFonts w:ascii="Arial" w:hAnsi="Arial" w:cs="Arial"/>
        </w:rPr>
        <w:t xml:space="preserve"> en las generaciones anteriores teniendo en cuenta que </w:t>
      </w:r>
      <w:r w:rsidR="0031579C" w:rsidRPr="0031579C">
        <w:rPr>
          <w:rFonts w:ascii="Arial" w:hAnsi="Arial" w:cs="Arial"/>
        </w:rPr>
        <w:t>hay cada vez más pruebas de que provienen de un conjunto de experiencias muy diferentes</w:t>
      </w:r>
      <w:r w:rsidR="0031579C" w:rsidRPr="00172AAD">
        <w:footnoteReference w:id="1"/>
      </w:r>
      <w:sdt>
        <w:sdtPr>
          <w:rPr>
            <w:rFonts w:ascii="Arial" w:hAnsi="Arial" w:cs="Arial"/>
          </w:rPr>
          <w:id w:val="2376972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 w:rsidR="0031579C">
            <w:rPr>
              <w:rFonts w:ascii="Arial" w:hAnsi="Arial" w:cs="Arial"/>
            </w:rPr>
            <w:instrText xml:space="preserve"> CITATION Wil10 \p 1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(Williamson &amp; Meyer-Looze, 2010, pág. 1)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 w:rsidR="0031579C">
        <w:rPr>
          <w:rFonts w:ascii="Arial" w:hAnsi="Arial" w:cs="Arial"/>
        </w:rPr>
        <w:t>.</w:t>
      </w:r>
    </w:p>
    <w:p w:rsidR="00797B82" w:rsidRPr="00731E23" w:rsidRDefault="0033642F" w:rsidP="00172AAD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su etapa de formación, este grupo se distingue por haber incorporado “</w:t>
      </w:r>
      <w:r w:rsidRPr="00731E23">
        <w:rPr>
          <w:rFonts w:ascii="Arial" w:hAnsi="Arial" w:cs="Arial"/>
        </w:rPr>
        <w:t xml:space="preserve">tres características que resultan básicas para </w:t>
      </w:r>
      <w:r>
        <w:rPr>
          <w:rFonts w:ascii="Arial" w:hAnsi="Arial" w:cs="Arial"/>
        </w:rPr>
        <w:t xml:space="preserve">el aprendizaje de los </w:t>
      </w:r>
      <w:r w:rsidRPr="00731E23">
        <w:rPr>
          <w:rFonts w:ascii="Arial" w:hAnsi="Arial" w:cs="Arial"/>
        </w:rPr>
        <w:t>millennials, que son: 1) la autodidaxia, 2) El mundo digital y 3) La gamificación</w:t>
      </w:r>
      <w:r>
        <w:rPr>
          <w:rFonts w:ascii="Arial" w:hAnsi="Arial" w:cs="Arial"/>
        </w:rPr>
        <w:t xml:space="preserve">” </w:t>
      </w:r>
      <w:sdt>
        <w:sdtPr>
          <w:rPr>
            <w:rFonts w:ascii="Arial" w:hAnsi="Arial" w:cs="Arial"/>
          </w:rPr>
          <w:id w:val="2376955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 w:rsidR="005E0446">
            <w:rPr>
              <w:rFonts w:ascii="Arial" w:hAnsi="Arial" w:cs="Arial"/>
            </w:rPr>
            <w:instrText xml:space="preserve"> CITATION Cat15 \p 4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(Cataldi &amp; Dominighini, 2015, pág. 4)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 w:rsidR="0009169A">
        <w:rPr>
          <w:rFonts w:ascii="Arial" w:hAnsi="Arial" w:cs="Arial"/>
        </w:rPr>
        <w:t xml:space="preserve"> que van a ser las que orienten las metodologías de la enseñanza que ellos mismos proponen en la actualidad</w:t>
      </w:r>
      <w:r w:rsidR="005E0446">
        <w:rPr>
          <w:rFonts w:ascii="Arial" w:hAnsi="Arial" w:cs="Arial"/>
        </w:rPr>
        <w:t>.</w:t>
      </w:r>
      <w:r w:rsidR="004711B6">
        <w:rPr>
          <w:rFonts w:ascii="Arial" w:hAnsi="Arial" w:cs="Arial"/>
        </w:rPr>
        <w:t>Así, estas nuevas formas de aprender el mundo ha</w:t>
      </w:r>
      <w:r w:rsidR="00797B82">
        <w:rPr>
          <w:rFonts w:ascii="Arial" w:hAnsi="Arial" w:cs="Arial"/>
        </w:rPr>
        <w:t>n</w:t>
      </w:r>
      <w:r w:rsidR="004711B6">
        <w:rPr>
          <w:rFonts w:ascii="Arial" w:hAnsi="Arial" w:cs="Arial"/>
        </w:rPr>
        <w:t xml:space="preserve"> llevado a establecer también nuevas formas de </w:t>
      </w:r>
      <w:r w:rsidR="00F61C63">
        <w:rPr>
          <w:rFonts w:ascii="Arial" w:hAnsi="Arial" w:cs="Arial"/>
        </w:rPr>
        <w:t>interact</w:t>
      </w:r>
      <w:r w:rsidR="00797B82">
        <w:rPr>
          <w:rFonts w:ascii="Arial" w:hAnsi="Arial" w:cs="Arial"/>
        </w:rPr>
        <w:t>uar con el entorno en tanto las estructuras emergentes de los cambios experimentados en la sociedad y es a razón de esto que la Generación Y conforma un particular movimiento social “</w:t>
      </w:r>
      <w:r w:rsidR="00C90668">
        <w:rPr>
          <w:rFonts w:ascii="Arial" w:hAnsi="Arial" w:cs="Arial"/>
        </w:rPr>
        <w:t>cuestionado</w:t>
      </w:r>
      <w:r w:rsidR="00797B82" w:rsidRPr="00731E23">
        <w:rPr>
          <w:rFonts w:ascii="Arial" w:hAnsi="Arial" w:cs="Arial"/>
        </w:rPr>
        <w:t xml:space="preserve"> a las instituciones y sus estructuras, explorando nuevas formas de acción</w:t>
      </w:r>
      <w:r w:rsidR="00797B82">
        <w:rPr>
          <w:rFonts w:ascii="Arial" w:hAnsi="Arial" w:cs="Arial"/>
        </w:rPr>
        <w:t>”</w:t>
      </w:r>
      <w:sdt>
        <w:sdtPr>
          <w:rPr>
            <w:rFonts w:ascii="Arial" w:hAnsi="Arial" w:cs="Arial"/>
          </w:rPr>
          <w:id w:val="2376956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 w:rsidR="005E0446">
            <w:rPr>
              <w:rFonts w:ascii="Arial" w:hAnsi="Arial" w:cs="Arial"/>
            </w:rPr>
            <w:instrText xml:space="preserve"> CITATION Cat15 \p 6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(Cataldi &amp; Dominighini, 2015, pág. 6)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 w:rsidR="005477CE">
        <w:rPr>
          <w:rFonts w:ascii="Arial" w:hAnsi="Arial" w:cs="Arial"/>
        </w:rPr>
        <w:t>, al momento de administrar las instituciones en las que se involucran.</w:t>
      </w:r>
    </w:p>
    <w:p w:rsidR="00DD7EBB" w:rsidRPr="00DC2542" w:rsidRDefault="00DD7EBB" w:rsidP="00172AAD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DC2542">
        <w:rPr>
          <w:rFonts w:ascii="Arial" w:hAnsi="Arial" w:cs="Arial"/>
          <w:b/>
          <w:i/>
          <w:sz w:val="24"/>
        </w:rPr>
        <w:t xml:space="preserve">¿Qué características </w:t>
      </w:r>
      <w:r w:rsidR="00766946" w:rsidRPr="00DC2542">
        <w:rPr>
          <w:rFonts w:ascii="Arial" w:hAnsi="Arial" w:cs="Arial"/>
          <w:b/>
          <w:i/>
          <w:sz w:val="24"/>
        </w:rPr>
        <w:t>distinguen a</w:t>
      </w:r>
      <w:r w:rsidRPr="00DC2542">
        <w:rPr>
          <w:rFonts w:ascii="Arial" w:hAnsi="Arial" w:cs="Arial"/>
          <w:b/>
          <w:i/>
          <w:sz w:val="24"/>
        </w:rPr>
        <w:t xml:space="preserve"> los mille</w:t>
      </w:r>
      <w:r w:rsidR="00172AAD">
        <w:rPr>
          <w:rFonts w:ascii="Arial" w:hAnsi="Arial" w:cs="Arial"/>
          <w:b/>
          <w:i/>
          <w:sz w:val="24"/>
        </w:rPr>
        <w:t>n</w:t>
      </w:r>
      <w:r w:rsidRPr="00DC2542">
        <w:rPr>
          <w:rFonts w:ascii="Arial" w:hAnsi="Arial" w:cs="Arial"/>
          <w:b/>
          <w:i/>
          <w:sz w:val="24"/>
        </w:rPr>
        <w:t>nials?</w:t>
      </w:r>
    </w:p>
    <w:p w:rsidR="00766946" w:rsidRDefault="00766946" w:rsidP="00172AAD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Los trabajadores de la Generación Y suelen ser altamente educados y con una mentalidad educativa</w:t>
      </w:r>
      <w:r w:rsidRPr="00172AAD">
        <w:footnoteReference w:id="2"/>
      </w:r>
      <w:sdt>
        <w:sdtPr>
          <w:rPr>
            <w:rFonts w:ascii="Arial" w:hAnsi="Arial" w:cs="Arial"/>
          </w:rPr>
          <w:id w:val="2376958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CITATION Nat09 \p 2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(National Comprehensive Center for Teacher Quality, 2009, pág. 2)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>
        <w:rPr>
          <w:rFonts w:ascii="Arial" w:hAnsi="Arial" w:cs="Arial"/>
        </w:rPr>
        <w:t xml:space="preserve"> lo que permite pensar en la primera diferencia con otras generaciones ya que tienden a realizar un aprendizaje continuo a lo la</w:t>
      </w:r>
      <w:r w:rsidR="00205E48">
        <w:rPr>
          <w:rFonts w:ascii="Arial" w:hAnsi="Arial" w:cs="Arial"/>
        </w:rPr>
        <w:t>rgo de la vida, encontrando n</w:t>
      </w:r>
      <w:r>
        <w:rPr>
          <w:rFonts w:ascii="Arial" w:hAnsi="Arial" w:cs="Arial"/>
        </w:rPr>
        <w:t>uevas alternativas para ampliar o c</w:t>
      </w:r>
      <w:r w:rsidR="00FF2A4A">
        <w:rPr>
          <w:rFonts w:ascii="Arial" w:hAnsi="Arial" w:cs="Arial"/>
        </w:rPr>
        <w:t>omplementar su campo de estudio y colocándose en</w:t>
      </w:r>
      <w:r w:rsidR="00172AAD">
        <w:rPr>
          <w:rFonts w:ascii="Arial" w:hAnsi="Arial" w:cs="Arial"/>
        </w:rPr>
        <w:t>:</w:t>
      </w:r>
    </w:p>
    <w:p w:rsidR="00FF2A4A" w:rsidRPr="00731E23" w:rsidRDefault="00FF2A4A" w:rsidP="00172AAD">
      <w:pPr>
        <w:spacing w:line="360" w:lineRule="auto"/>
        <w:ind w:left="708" w:right="566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731E23">
        <w:rPr>
          <w:rFonts w:ascii="Arial" w:hAnsi="Arial" w:cs="Arial"/>
        </w:rPr>
        <w:t>contrapartida con la mayoría de los profesores universitarios actuales, que pertenecen  a la generación de “baby-boomers” (nacidos en la posguerra) o a la “generación X” (nacidos entre los 60 y los 80), quienes deberían cambiar sus formas de enseñanza hacia otras más atractivas en relación a las características propias de los millennials</w:t>
      </w:r>
      <w:r>
        <w:rPr>
          <w:rFonts w:ascii="Arial" w:hAnsi="Arial" w:cs="Arial"/>
        </w:rPr>
        <w:t>”</w:t>
      </w:r>
      <w:sdt>
        <w:sdtPr>
          <w:rPr>
            <w:rFonts w:ascii="Arial" w:hAnsi="Arial" w:cs="Arial"/>
          </w:rPr>
          <w:id w:val="2376963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CITATION Cat15 \p 6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  <w:noProof/>
            </w:rPr>
            <w:t>(Cataldi &amp; Dominighini, 2015, pág. 6)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>
        <w:rPr>
          <w:rFonts w:ascii="Arial" w:hAnsi="Arial" w:cs="Arial"/>
        </w:rPr>
        <w:t>.</w:t>
      </w:r>
    </w:p>
    <w:p w:rsidR="001254FA" w:rsidRDefault="001254FA" w:rsidP="00172AAD">
      <w:pPr>
        <w:spacing w:line="360" w:lineRule="auto"/>
        <w:ind w:firstLine="284"/>
        <w:jc w:val="both"/>
        <w:rPr>
          <w:rFonts w:ascii="Arial" w:hAnsi="Arial" w:cs="Arial"/>
        </w:rPr>
      </w:pPr>
      <w:r w:rsidRPr="001254FA">
        <w:rPr>
          <w:rFonts w:ascii="Arial" w:hAnsi="Arial" w:cs="Arial"/>
        </w:rPr>
        <w:t>En cuanto a la forma en la que desarrollan su profesi</w:t>
      </w:r>
      <w:r>
        <w:rPr>
          <w:rFonts w:ascii="Arial" w:hAnsi="Arial" w:cs="Arial"/>
        </w:rPr>
        <w:t>ón</w:t>
      </w:r>
      <w:r w:rsidR="00205E48">
        <w:rPr>
          <w:rFonts w:ascii="Arial" w:hAnsi="Arial" w:cs="Arial"/>
        </w:rPr>
        <w:t>,</w:t>
      </w:r>
      <w:r w:rsidR="001C683E">
        <w:rPr>
          <w:rFonts w:ascii="Arial" w:hAnsi="Arial" w:cs="Arial"/>
        </w:rPr>
        <w:t>los Mil</w:t>
      </w:r>
      <w:r w:rsidR="00D35B25">
        <w:rPr>
          <w:rFonts w:ascii="Arial" w:hAnsi="Arial" w:cs="Arial"/>
        </w:rPr>
        <w:t>l</w:t>
      </w:r>
      <w:r w:rsidR="001C683E">
        <w:rPr>
          <w:rFonts w:ascii="Arial" w:hAnsi="Arial" w:cs="Arial"/>
        </w:rPr>
        <w:t>e</w:t>
      </w:r>
      <w:r w:rsidR="00D35B25">
        <w:rPr>
          <w:rFonts w:ascii="Arial" w:hAnsi="Arial" w:cs="Arial"/>
        </w:rPr>
        <w:t>n</w:t>
      </w:r>
      <w:r w:rsidR="001C683E">
        <w:rPr>
          <w:rFonts w:ascii="Arial" w:hAnsi="Arial" w:cs="Arial"/>
        </w:rPr>
        <w:t>nials</w:t>
      </w:r>
      <w:r>
        <w:rPr>
          <w:rFonts w:ascii="Arial" w:hAnsi="Arial" w:cs="Arial"/>
        </w:rPr>
        <w:t xml:space="preserve"> son creativos, innovadores y con seguridad en sí mismos</w:t>
      </w:r>
      <w:r w:rsidRPr="00172AAD">
        <w:footnoteReference w:id="3"/>
      </w:r>
      <w:sdt>
        <w:sdtPr>
          <w:rPr>
            <w:rFonts w:ascii="Arial" w:hAnsi="Arial" w:cs="Arial"/>
          </w:rPr>
          <w:id w:val="2376959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CITATION Nat09 \p 2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(National Comprehensive Center for Teacher Quality, 2009, pág. 2)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 w:rsidR="009511FD">
        <w:rPr>
          <w:rFonts w:ascii="Arial" w:hAnsi="Arial" w:cs="Arial"/>
        </w:rPr>
        <w:t>,</w:t>
      </w:r>
      <w:r w:rsidR="00205E48">
        <w:rPr>
          <w:rFonts w:ascii="Arial" w:hAnsi="Arial" w:cs="Arial"/>
        </w:rPr>
        <w:t xml:space="preserve"> ofreciendo nuevas perspectivas a la fuerza laboral activa a la vez que promoviendo nuevos esquemas a la estructura e interrelación </w:t>
      </w:r>
      <w:r w:rsidR="00E33439">
        <w:rPr>
          <w:rFonts w:ascii="Arial" w:hAnsi="Arial" w:cs="Arial"/>
        </w:rPr>
        <w:t xml:space="preserve">tanto </w:t>
      </w:r>
      <w:r w:rsidR="00205E48">
        <w:rPr>
          <w:rFonts w:ascii="Arial" w:hAnsi="Arial" w:cs="Arial"/>
        </w:rPr>
        <w:t>con las generaciones anteriores</w:t>
      </w:r>
      <w:r w:rsidR="00E33439">
        <w:rPr>
          <w:rFonts w:ascii="Arial" w:hAnsi="Arial" w:cs="Arial"/>
        </w:rPr>
        <w:t xml:space="preserve"> cuanto con las que le siguen </w:t>
      </w:r>
      <w:r w:rsidR="00747FE5">
        <w:rPr>
          <w:rFonts w:ascii="Arial" w:hAnsi="Arial" w:cs="Arial"/>
        </w:rPr>
        <w:t>favoreciendo</w:t>
      </w:r>
      <w:r w:rsidR="00E33439">
        <w:rPr>
          <w:rFonts w:ascii="Arial" w:hAnsi="Arial" w:cs="Arial"/>
        </w:rPr>
        <w:t xml:space="preserve"> un vínculo que los distingue y</w:t>
      </w:r>
      <w:r w:rsidR="00205E48">
        <w:rPr>
          <w:rFonts w:ascii="Arial" w:hAnsi="Arial" w:cs="Arial"/>
        </w:rPr>
        <w:t xml:space="preserve"> que hace que la necesidad de diversidad e inclusión en el lugar de trabajo sea de importancia para la Generación Y</w:t>
      </w:r>
      <w:r w:rsidR="00205E48" w:rsidRPr="00172AAD">
        <w:footnoteReference w:id="4"/>
      </w:r>
      <w:sdt>
        <w:sdtPr>
          <w:rPr>
            <w:rFonts w:ascii="Arial" w:hAnsi="Arial" w:cs="Arial"/>
          </w:rPr>
          <w:id w:val="2376960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 w:rsidR="00205E48">
            <w:rPr>
              <w:rFonts w:ascii="Arial" w:hAnsi="Arial" w:cs="Arial"/>
            </w:rPr>
            <w:instrText xml:space="preserve"> CITATION Nat09 \p 2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(National Comprehensive Center for Teacher Quality, 2009, pág. 2)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 w:rsidR="00205E48">
        <w:rPr>
          <w:rFonts w:ascii="Arial" w:hAnsi="Arial" w:cs="Arial"/>
        </w:rPr>
        <w:t>.</w:t>
      </w:r>
      <w:r w:rsidR="0045488A">
        <w:rPr>
          <w:rFonts w:ascii="Arial" w:hAnsi="Arial" w:cs="Arial"/>
        </w:rPr>
        <w:t xml:space="preserve"> De aquí la relevancia de que los directivos deban centrarse en trabajar eficazmente con los docentes</w:t>
      </w:r>
      <w:r w:rsidR="009511FD">
        <w:rPr>
          <w:rFonts w:ascii="Arial" w:hAnsi="Arial" w:cs="Arial"/>
        </w:rPr>
        <w:t>Mil</w:t>
      </w:r>
      <w:r w:rsidR="0045488A">
        <w:rPr>
          <w:rFonts w:ascii="Arial" w:hAnsi="Arial" w:cs="Arial"/>
        </w:rPr>
        <w:t>enials para maximizar su rend</w:t>
      </w:r>
      <w:r w:rsidR="00376374">
        <w:rPr>
          <w:rFonts w:ascii="Arial" w:hAnsi="Arial" w:cs="Arial"/>
        </w:rPr>
        <w:t>imiento y satisfacción laboral</w:t>
      </w:r>
      <w:r w:rsidR="00376374" w:rsidRPr="00172AAD">
        <w:footnoteReference w:id="5"/>
      </w:r>
      <w:sdt>
        <w:sdtPr>
          <w:rPr>
            <w:rFonts w:ascii="Arial" w:hAnsi="Arial" w:cs="Arial"/>
          </w:rPr>
          <w:id w:val="2376961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 w:rsidR="00376374">
            <w:rPr>
              <w:rFonts w:ascii="Arial" w:hAnsi="Arial" w:cs="Arial"/>
            </w:rPr>
            <w:instrText xml:space="preserve"> CITATION Bar172 \p 2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(Bartz, Thompson, &amp; Rice, 2017, pág. 2)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 w:rsidR="007F327E">
        <w:rPr>
          <w:rFonts w:ascii="Arial" w:hAnsi="Arial" w:cs="Arial"/>
        </w:rPr>
        <w:t xml:space="preserve"> proyectando que estos serán pronto una gran mayoría en las profesiones.</w:t>
      </w:r>
    </w:p>
    <w:p w:rsidR="00DD7EBB" w:rsidRPr="00DC2542" w:rsidRDefault="00DD7EBB" w:rsidP="00172AAD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DC2542">
        <w:rPr>
          <w:rFonts w:ascii="Arial" w:hAnsi="Arial" w:cs="Arial"/>
          <w:b/>
          <w:i/>
          <w:sz w:val="24"/>
        </w:rPr>
        <w:t>¿Qué preferencias tienen en el rol de educadores?</w:t>
      </w:r>
    </w:p>
    <w:p w:rsidR="00DC2542" w:rsidRPr="00DC2542" w:rsidRDefault="00DC2542" w:rsidP="00172AAD">
      <w:pPr>
        <w:spacing w:line="360" w:lineRule="auto"/>
        <w:ind w:left="708" w:right="566"/>
        <w:jc w:val="both"/>
        <w:rPr>
          <w:rFonts w:ascii="Arial" w:hAnsi="Arial" w:cs="Arial"/>
        </w:rPr>
      </w:pPr>
      <w:r w:rsidRPr="00DC2542">
        <w:rPr>
          <w:rFonts w:ascii="Arial" w:hAnsi="Arial" w:cs="Arial"/>
        </w:rPr>
        <w:t xml:space="preserve">Dado el valor que tienen para la educación y su deseo de una vida laboral relevante y con impacto, es probable que la Generación Y se sienta motivada por las muchas oportunidades que tienen los maestros de marcar una diferencia en la vida de sus estudiantes y de la sociedad. Además, la comodidad de la Generación Y con la tecnología, la colaboración y la innovación es fundamental para la profesión docente si los maestros quieren dotar a los estudiantes de las habilidades del siglo XXI </w:t>
      </w:r>
      <w:sdt>
        <w:sdtPr>
          <w:rPr>
            <w:rFonts w:ascii="Arial" w:hAnsi="Arial" w:cs="Arial"/>
          </w:rPr>
          <w:id w:val="2376962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CITATION Nat09 \p 4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  <w:noProof/>
            </w:rPr>
            <w:t>(National Comprehensive Center for Teacher Quality, 2009, pág. 4)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 w:rsidR="007F327E">
        <w:rPr>
          <w:rStyle w:val="Refdenotaalpie"/>
          <w:rFonts w:ascii="Arial" w:hAnsi="Arial" w:cs="Arial"/>
        </w:rPr>
        <w:footnoteReference w:id="6"/>
      </w:r>
    </w:p>
    <w:p w:rsidR="00DC2542" w:rsidRPr="00731E23" w:rsidRDefault="00142656" w:rsidP="00172AAD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Es por esta razón que para esta generación, el estudiante se convierte en el núcleo del proceso de enseñanza y aprendizaje y se involucra de manera tal que genera la permanente construcción de conocimientos en base a la realidad con la que interactúa. “</w:t>
      </w:r>
      <w:r w:rsidR="00DC2542" w:rsidRPr="00731E23">
        <w:rPr>
          <w:rFonts w:ascii="Arial" w:hAnsi="Arial" w:cs="Arial"/>
        </w:rPr>
        <w:t>En este contexto, surge el pa</w:t>
      </w:r>
      <w:r>
        <w:rPr>
          <w:rFonts w:ascii="Arial" w:hAnsi="Arial" w:cs="Arial"/>
        </w:rPr>
        <w:t>radigma de  la ciber</w:t>
      </w:r>
      <w:r w:rsidR="00172AA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educación, autosuficiente y </w:t>
      </w:r>
      <w:r w:rsidR="00DC2542" w:rsidRPr="00731E23">
        <w:rPr>
          <w:rFonts w:ascii="Arial" w:hAnsi="Arial" w:cs="Arial"/>
        </w:rPr>
        <w:t>originada</w:t>
      </w:r>
      <w:r>
        <w:rPr>
          <w:rFonts w:ascii="Arial" w:hAnsi="Arial" w:cs="Arial"/>
        </w:rPr>
        <w:t xml:space="preserve"> por las necesidades sociales, </w:t>
      </w:r>
      <w:r w:rsidR="00DC2542" w:rsidRPr="00731E23">
        <w:rPr>
          <w:rFonts w:ascii="Arial" w:hAnsi="Arial" w:cs="Arial"/>
        </w:rPr>
        <w:t>en dicotomía con  la escuela  o universid</w:t>
      </w:r>
      <w:r>
        <w:rPr>
          <w:rFonts w:ascii="Arial" w:hAnsi="Arial" w:cs="Arial"/>
        </w:rPr>
        <w:t xml:space="preserve">ad reconocidas por su espacio educativo y regida por su relación </w:t>
      </w:r>
      <w:r w:rsidR="00DC2542" w:rsidRPr="00731E23">
        <w:rPr>
          <w:rFonts w:ascii="Arial" w:hAnsi="Arial" w:cs="Arial"/>
        </w:rPr>
        <w:t>con el  concepto de autoridad</w:t>
      </w:r>
      <w:r>
        <w:rPr>
          <w:rFonts w:ascii="Arial" w:hAnsi="Arial" w:cs="Arial"/>
        </w:rPr>
        <w:t xml:space="preserve">” </w:t>
      </w:r>
      <w:sdt>
        <w:sdtPr>
          <w:rPr>
            <w:rFonts w:ascii="Arial" w:hAnsi="Arial" w:cs="Arial"/>
          </w:rPr>
          <w:id w:val="2376967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CITATION Cat15 \p 5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(Cataldi &amp; Dominighini, 2015, pág. 5)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>
        <w:rPr>
          <w:rFonts w:ascii="Arial" w:hAnsi="Arial" w:cs="Arial"/>
        </w:rPr>
        <w:t>. Esto concede que los mil</w:t>
      </w:r>
      <w:r w:rsidR="00D35B2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D35B25">
        <w:rPr>
          <w:rFonts w:ascii="Arial" w:hAnsi="Arial" w:cs="Arial"/>
        </w:rPr>
        <w:t>n</w:t>
      </w:r>
      <w:r>
        <w:rPr>
          <w:rFonts w:ascii="Arial" w:hAnsi="Arial" w:cs="Arial"/>
        </w:rPr>
        <w:t>nials promuevan el trabajo en equipo con mayor facilidad y seguridad sin sentirse amenazados en cuanto a la autoridad, incluso porque d</w:t>
      </w:r>
      <w:r w:rsidRPr="00142656">
        <w:rPr>
          <w:rFonts w:ascii="Arial" w:hAnsi="Arial" w:cs="Arial"/>
        </w:rPr>
        <w:t xml:space="preserve">urante sus años de formación, los niños </w:t>
      </w:r>
      <w:r>
        <w:rPr>
          <w:rFonts w:ascii="Arial" w:hAnsi="Arial" w:cs="Arial"/>
        </w:rPr>
        <w:t>mil</w:t>
      </w:r>
      <w:r w:rsidR="00D35B25">
        <w:rPr>
          <w:rFonts w:ascii="Arial" w:hAnsi="Arial" w:cs="Arial"/>
        </w:rPr>
        <w:t>l</w:t>
      </w:r>
      <w:r>
        <w:rPr>
          <w:rFonts w:ascii="Arial" w:hAnsi="Arial" w:cs="Arial"/>
        </w:rPr>
        <w:t>en</w:t>
      </w:r>
      <w:r w:rsidR="00D35B25">
        <w:rPr>
          <w:rFonts w:ascii="Arial" w:hAnsi="Arial" w:cs="Arial"/>
        </w:rPr>
        <w:t>n</w:t>
      </w:r>
      <w:r>
        <w:rPr>
          <w:rFonts w:ascii="Arial" w:hAnsi="Arial" w:cs="Arial"/>
        </w:rPr>
        <w:t>ials</w:t>
      </w:r>
      <w:r w:rsidRPr="00142656">
        <w:rPr>
          <w:rFonts w:ascii="Arial" w:hAnsi="Arial" w:cs="Arial"/>
        </w:rPr>
        <w:t xml:space="preserve"> sabían más sobre la tecnología y a menudo enseñaban a sus padres a usarla</w:t>
      </w:r>
      <w:sdt>
        <w:sdtPr>
          <w:rPr>
            <w:rFonts w:ascii="Arial" w:hAnsi="Arial" w:cs="Arial"/>
          </w:rPr>
          <w:id w:val="2376968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CITATION Lay15 \p 51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(Layton, 2015, pág. 51)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>
        <w:rPr>
          <w:rFonts w:ascii="Arial" w:hAnsi="Arial" w:cs="Arial"/>
        </w:rPr>
        <w:t xml:space="preserve"> recuperando el concepto de autoridad como la capacidad de mayor conocimiento y no de poder.</w:t>
      </w:r>
    </w:p>
    <w:p w:rsidR="00DC2542" w:rsidRDefault="00D737C7" w:rsidP="00172AAD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En el ámbito privado l</w:t>
      </w:r>
      <w:r w:rsidRPr="00D737C7">
        <w:rPr>
          <w:rFonts w:ascii="Arial" w:hAnsi="Arial" w:cs="Arial"/>
        </w:rPr>
        <w:t>os especialistas también encontraron que los empleados de la Generación Y desean tener relaciones con sus compañeros de trabajo y supervisores, buscan oportunidades de crecimiento profesional, disfrutan de asignaciones desafiantes y del reconocimiento por la calidad del trabajo y el desempeño</w:t>
      </w:r>
      <w:r w:rsidRPr="00172AAD">
        <w:footnoteReference w:id="7"/>
      </w:r>
      <w:sdt>
        <w:sdtPr>
          <w:rPr>
            <w:rFonts w:ascii="Arial" w:hAnsi="Arial" w:cs="Arial"/>
          </w:rPr>
          <w:id w:val="2376971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CITATION Wil10 \p 2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(Williamson &amp; Meyer-Looze, 2010, pág. 2)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>
        <w:rPr>
          <w:rFonts w:ascii="Arial" w:hAnsi="Arial" w:cs="Arial"/>
        </w:rPr>
        <w:t xml:space="preserve"> orientando la tarea al logro de objetivos mediante el trabajo en equipo </w:t>
      </w:r>
      <w:r w:rsidR="0031579C">
        <w:rPr>
          <w:rFonts w:ascii="Arial" w:hAnsi="Arial" w:cs="Arial"/>
        </w:rPr>
        <w:t>y la aquilatación positiva de las experiencias que desarrollan.</w:t>
      </w:r>
    </w:p>
    <w:p w:rsidR="00F23B94" w:rsidRDefault="00F23B94" w:rsidP="00172AAD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a otros datos en este campo de estudio, se sab</w:t>
      </w:r>
      <w:r w:rsidR="00172AAD">
        <w:rPr>
          <w:rFonts w:ascii="Arial" w:hAnsi="Arial" w:cs="Arial"/>
        </w:rPr>
        <w:t>e que la Net Gen se inclina por:</w:t>
      </w:r>
    </w:p>
    <w:p w:rsidR="00C27903" w:rsidRDefault="00C27903" w:rsidP="00172AAD">
      <w:pPr>
        <w:spacing w:line="360" w:lineRule="auto"/>
        <w:ind w:left="708" w:right="566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27903">
        <w:rPr>
          <w:rFonts w:ascii="Arial" w:hAnsi="Arial" w:cs="Arial"/>
        </w:rPr>
        <w:t>impulsar el aprendizaje basado en la investigación, eliminar las barreras que limitaban la interdisciplinariedad, desarrollar  las  habilidades de lectura y escritura para el trabajo de investigación, utilizar las tecnología de información y comunicación de manera creativa para aportar nuevas experiencias de investigación, involucrar a los estudiantes de posgrado en la enseñanza de pregrado y crear un sentimiento de comunidad</w:t>
      </w:r>
      <w:r>
        <w:rPr>
          <w:rFonts w:ascii="Arial" w:hAnsi="Arial" w:cs="Arial"/>
        </w:rPr>
        <w:t xml:space="preserve">” </w:t>
      </w:r>
      <w:sdt>
        <w:sdtPr>
          <w:rPr>
            <w:rFonts w:ascii="Arial" w:hAnsi="Arial" w:cs="Arial"/>
          </w:rPr>
          <w:id w:val="9799313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CITATION Ped18 \p 7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  <w:noProof/>
            </w:rPr>
            <w:t>(Pedrozo Flores, 2018, pág. 7)</w:t>
          </w:r>
          <w:r w:rsidR="0064162D">
            <w:rPr>
              <w:rFonts w:ascii="Arial" w:hAnsi="Arial" w:cs="Arial"/>
            </w:rPr>
            <w:fldChar w:fldCharType="end"/>
          </w:r>
        </w:sdtContent>
      </w:sdt>
    </w:p>
    <w:p w:rsidR="00C27903" w:rsidRDefault="00F23B94" w:rsidP="00172AAD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pesar de ello, a medida que la 4ta. Revolución Industrial fue instalándose como paradigma superador</w:t>
      </w:r>
      <w:r w:rsidR="00816CC2">
        <w:rPr>
          <w:rFonts w:ascii="Arial" w:hAnsi="Arial" w:cs="Arial"/>
        </w:rPr>
        <w:t xml:space="preserve"> en las últimas décadas</w:t>
      </w:r>
      <w:r>
        <w:rPr>
          <w:rFonts w:ascii="Arial" w:hAnsi="Arial" w:cs="Arial"/>
        </w:rPr>
        <w:t xml:space="preserve">, </w:t>
      </w:r>
      <w:r w:rsidR="00CC7193">
        <w:rPr>
          <w:rFonts w:ascii="Arial" w:hAnsi="Arial" w:cs="Arial"/>
        </w:rPr>
        <w:t>“</w:t>
      </w:r>
      <w:r w:rsidR="00C27903" w:rsidRPr="00C27903">
        <w:rPr>
          <w:rFonts w:ascii="Arial" w:hAnsi="Arial" w:cs="Arial"/>
        </w:rPr>
        <w:t>se consideró y se considera aún  prioritario repensar el futuro de las organizaciones universitarias  ante la di</w:t>
      </w:r>
      <w:r w:rsidR="00C27903">
        <w:rPr>
          <w:rFonts w:ascii="Arial" w:hAnsi="Arial" w:cs="Arial"/>
        </w:rPr>
        <w:t xml:space="preserve">námica científica y tecnológica” </w:t>
      </w:r>
      <w:sdt>
        <w:sdtPr>
          <w:rPr>
            <w:rFonts w:ascii="Arial" w:hAnsi="Arial" w:cs="Arial"/>
          </w:rPr>
          <w:id w:val="9799314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 w:rsidR="00CC7193">
            <w:rPr>
              <w:rFonts w:ascii="Arial" w:hAnsi="Arial" w:cs="Arial"/>
            </w:rPr>
            <w:instrText xml:space="preserve"> CITATION Ped18 \p 7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  <w:noProof/>
            </w:rPr>
            <w:t>(Pedrozo Flores, 2018, pág. 7)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 w:rsidR="009D73A0">
        <w:rPr>
          <w:rFonts w:ascii="Arial" w:hAnsi="Arial" w:cs="Arial"/>
        </w:rPr>
        <w:t>, en virtud de la necesidad de implementación de nuevas estrategias que capitalicen las competencias y habilidades de los Millennials a la vez que generando aprendizajes significativos en las nuevas generaciones.</w:t>
      </w:r>
    </w:p>
    <w:p w:rsidR="00CC7193" w:rsidRPr="00DC2542" w:rsidRDefault="00816CC2" w:rsidP="00172AAD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a esto se existen registro acerca de que l</w:t>
      </w:r>
      <w:r w:rsidR="005E2868">
        <w:rPr>
          <w:rFonts w:ascii="Arial" w:hAnsi="Arial" w:cs="Arial"/>
        </w:rPr>
        <w:t xml:space="preserve">os próximos cambios están orientados hacia la </w:t>
      </w:r>
      <w:r w:rsidR="005E2868" w:rsidRPr="00816CC2">
        <w:rPr>
          <w:rFonts w:ascii="Arial" w:hAnsi="Arial" w:cs="Arial"/>
          <w:i/>
        </w:rPr>
        <w:t>transformación pedagógica</w:t>
      </w:r>
      <w:r w:rsidR="005E2868">
        <w:rPr>
          <w:rFonts w:ascii="Arial" w:hAnsi="Arial" w:cs="Arial"/>
        </w:rPr>
        <w:t xml:space="preserve">, la </w:t>
      </w:r>
      <w:r w:rsidR="005E2868" w:rsidRPr="00816CC2">
        <w:rPr>
          <w:rFonts w:ascii="Arial" w:hAnsi="Arial" w:cs="Arial"/>
          <w:i/>
        </w:rPr>
        <w:t>innovación en las modalidades</w:t>
      </w:r>
      <w:r w:rsidR="005E2868">
        <w:rPr>
          <w:rFonts w:ascii="Arial" w:hAnsi="Arial" w:cs="Arial"/>
        </w:rPr>
        <w:t xml:space="preserve">, </w:t>
      </w:r>
      <w:r w:rsidR="005E2868" w:rsidRPr="00816CC2">
        <w:rPr>
          <w:rFonts w:ascii="Arial" w:hAnsi="Arial" w:cs="Arial"/>
          <w:i/>
        </w:rPr>
        <w:t>cambios en las tecnología</w:t>
      </w:r>
      <w:r>
        <w:rPr>
          <w:rFonts w:ascii="Arial" w:hAnsi="Arial" w:cs="Arial"/>
          <w:i/>
        </w:rPr>
        <w:t>s</w:t>
      </w:r>
      <w:r w:rsidR="005E2868" w:rsidRPr="00816CC2">
        <w:rPr>
          <w:rFonts w:ascii="Arial" w:hAnsi="Arial" w:cs="Arial"/>
          <w:i/>
        </w:rPr>
        <w:t xml:space="preserve"> del aprendizaje</w:t>
      </w:r>
      <w:r w:rsidR="005E2868">
        <w:rPr>
          <w:rFonts w:ascii="Arial" w:hAnsi="Arial" w:cs="Arial"/>
        </w:rPr>
        <w:t xml:space="preserve"> e </w:t>
      </w:r>
      <w:r w:rsidR="005E2868" w:rsidRPr="00816CC2">
        <w:rPr>
          <w:rFonts w:ascii="Arial" w:hAnsi="Arial" w:cs="Arial"/>
          <w:i/>
        </w:rPr>
        <w:t>innovaciones curriculares</w:t>
      </w:r>
      <w:r>
        <w:rPr>
          <w:rFonts w:ascii="Arial" w:hAnsi="Arial" w:cs="Arial"/>
        </w:rPr>
        <w:t>todas ellas incursionando desde los distintos campos del conocimiento de la mano de la Generación Y.</w:t>
      </w:r>
    </w:p>
    <w:p w:rsidR="005A30A6" w:rsidRDefault="00816CC2" w:rsidP="00172AAD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Algunos estudios realizados en la </w:t>
      </w:r>
      <w:r w:rsidR="005A30A6">
        <w:rPr>
          <w:rFonts w:ascii="Arial" w:hAnsi="Arial" w:cs="Arial"/>
        </w:rPr>
        <w:t xml:space="preserve">Facultad de Ciencias Económicas de la UNC, </w:t>
      </w:r>
      <w:r>
        <w:rPr>
          <w:rFonts w:ascii="Arial" w:hAnsi="Arial" w:cs="Arial"/>
        </w:rPr>
        <w:t xml:space="preserve">evidencian que entre </w:t>
      </w:r>
      <w:r w:rsidR="005A30A6">
        <w:rPr>
          <w:rFonts w:ascii="Arial" w:hAnsi="Arial" w:cs="Arial"/>
        </w:rPr>
        <w:t>las estrategias de enseñanzas que se aplican figuran:</w:t>
      </w:r>
    </w:p>
    <w:p w:rsidR="005A30A6" w:rsidRPr="00B3121F" w:rsidRDefault="005A30A6" w:rsidP="00172AA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3121F">
        <w:rPr>
          <w:rFonts w:ascii="Arial" w:hAnsi="Arial" w:cs="Arial"/>
        </w:rPr>
        <w:t>Uso de redes sociales,</w:t>
      </w:r>
    </w:p>
    <w:p w:rsidR="005A30A6" w:rsidRPr="00B3121F" w:rsidRDefault="005A30A6" w:rsidP="00172AA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3121F">
        <w:rPr>
          <w:rFonts w:ascii="Arial" w:hAnsi="Arial" w:cs="Arial"/>
        </w:rPr>
        <w:t>Herramientas de trabajo colaborativo,</w:t>
      </w:r>
    </w:p>
    <w:p w:rsidR="005A30A6" w:rsidRPr="00B3121F" w:rsidRDefault="005A30A6" w:rsidP="00172AA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3121F">
        <w:rPr>
          <w:rFonts w:ascii="Arial" w:hAnsi="Arial" w:cs="Arial"/>
        </w:rPr>
        <w:t>Crea tu propio caso,</w:t>
      </w:r>
    </w:p>
    <w:p w:rsidR="005A30A6" w:rsidRPr="00B3121F" w:rsidRDefault="005A30A6" w:rsidP="00172AA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3121F">
        <w:rPr>
          <w:rFonts w:ascii="Arial" w:hAnsi="Arial" w:cs="Arial"/>
        </w:rPr>
        <w:t>Juego de rol y</w:t>
      </w:r>
    </w:p>
    <w:p w:rsidR="005A30A6" w:rsidRPr="00B3121F" w:rsidRDefault="005A30A6" w:rsidP="00172AA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3121F">
        <w:rPr>
          <w:rFonts w:ascii="Arial" w:hAnsi="Arial" w:cs="Arial"/>
        </w:rPr>
        <w:t>Desarrollo de una wiki</w:t>
      </w:r>
    </w:p>
    <w:p w:rsidR="00097F45" w:rsidRPr="00172AAD" w:rsidRDefault="005A30A6" w:rsidP="00172AAD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Estas experiencias identificadas evidencian</w:t>
      </w:r>
      <w:r w:rsidR="003B5475">
        <w:rPr>
          <w:rFonts w:ascii="Arial" w:hAnsi="Arial" w:cs="Arial"/>
        </w:rPr>
        <w:t xml:space="preserve"> un movimiento de los métodos de enseñanza tradicionales hacia otros con nuevas configuraciones en los que se puede percibir la implicación de los estudiantes en situaciones más cercanas a la realidad</w:t>
      </w:r>
      <w:r w:rsidR="007F6386">
        <w:rPr>
          <w:rFonts w:ascii="Arial" w:hAnsi="Arial" w:cs="Arial"/>
        </w:rPr>
        <w:t xml:space="preserve"> y que consideran la condición de que l</w:t>
      </w:r>
      <w:r w:rsidR="007F6386" w:rsidRPr="007F6386">
        <w:rPr>
          <w:rFonts w:ascii="Arial" w:hAnsi="Arial" w:cs="Arial"/>
        </w:rPr>
        <w:t>os mil</w:t>
      </w:r>
      <w:r w:rsidR="00D35B25">
        <w:rPr>
          <w:rFonts w:ascii="Arial" w:hAnsi="Arial" w:cs="Arial"/>
        </w:rPr>
        <w:t>l</w:t>
      </w:r>
      <w:r w:rsidR="007F6386" w:rsidRPr="007F6386">
        <w:rPr>
          <w:rFonts w:ascii="Arial" w:hAnsi="Arial" w:cs="Arial"/>
        </w:rPr>
        <w:t>en</w:t>
      </w:r>
      <w:r w:rsidR="00D35B25">
        <w:rPr>
          <w:rFonts w:ascii="Arial" w:hAnsi="Arial" w:cs="Arial"/>
        </w:rPr>
        <w:t>n</w:t>
      </w:r>
      <w:r w:rsidR="007F6386" w:rsidRPr="007F6386">
        <w:rPr>
          <w:rFonts w:ascii="Arial" w:hAnsi="Arial" w:cs="Arial"/>
        </w:rPr>
        <w:t>i</w:t>
      </w:r>
      <w:r w:rsidR="007F6386">
        <w:rPr>
          <w:rFonts w:ascii="Arial" w:hAnsi="Arial" w:cs="Arial"/>
        </w:rPr>
        <w:t>a</w:t>
      </w:r>
      <w:r w:rsidR="00D35B25">
        <w:rPr>
          <w:rFonts w:ascii="Arial" w:hAnsi="Arial" w:cs="Arial"/>
        </w:rPr>
        <w:t>ls</w:t>
      </w:r>
      <w:r w:rsidR="007F6386" w:rsidRPr="007F6386">
        <w:rPr>
          <w:rFonts w:ascii="Arial" w:hAnsi="Arial" w:cs="Arial"/>
        </w:rPr>
        <w:t xml:space="preserve"> no </w:t>
      </w:r>
      <w:r w:rsidR="007F6386">
        <w:rPr>
          <w:rFonts w:ascii="Arial" w:hAnsi="Arial" w:cs="Arial"/>
        </w:rPr>
        <w:t>sortean muy bien</w:t>
      </w:r>
      <w:r w:rsidR="007F6386" w:rsidRPr="007F6386">
        <w:rPr>
          <w:rFonts w:ascii="Arial" w:hAnsi="Arial" w:cs="Arial"/>
        </w:rPr>
        <w:t xml:space="preserve"> la ambigüedad.  Tienen miedo de cometer errores y luchan con el deseo de ser perfectos</w:t>
      </w:r>
      <w:r w:rsidR="007F6386" w:rsidRPr="00172AAD">
        <w:footnoteReference w:id="8"/>
      </w:r>
      <w:sdt>
        <w:sdtPr>
          <w:rPr>
            <w:rFonts w:ascii="Arial" w:hAnsi="Arial" w:cs="Arial"/>
          </w:rPr>
          <w:id w:val="2376964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 w:rsidR="007F6386">
            <w:rPr>
              <w:rFonts w:ascii="Arial" w:hAnsi="Arial" w:cs="Arial"/>
            </w:rPr>
            <w:instrText xml:space="preserve"> CITATION Lay15 \p 52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(Layton, 2015, pág. 52)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 w:rsidR="00CE1BE1">
        <w:rPr>
          <w:rFonts w:ascii="Arial" w:hAnsi="Arial" w:cs="Arial"/>
        </w:rPr>
        <w:t xml:space="preserve">. No obstante esto, </w:t>
      </w:r>
      <w:r w:rsidR="003E028A">
        <w:rPr>
          <w:rFonts w:ascii="Arial" w:hAnsi="Arial" w:cs="Arial"/>
        </w:rPr>
        <w:t xml:space="preserve">los pertenecientes a </w:t>
      </w:r>
      <w:r w:rsidR="00CE1BE1">
        <w:rPr>
          <w:rFonts w:ascii="Arial" w:hAnsi="Arial" w:cs="Arial"/>
        </w:rPr>
        <w:t xml:space="preserve">esta generación </w:t>
      </w:r>
      <w:r w:rsidR="00CE1BE1" w:rsidRPr="00CE1BE1">
        <w:rPr>
          <w:rFonts w:ascii="Arial" w:hAnsi="Arial" w:cs="Arial"/>
        </w:rPr>
        <w:t>son disciplinados cuando se trata de cum</w:t>
      </w:r>
      <w:r w:rsidR="00CE1BE1">
        <w:rPr>
          <w:rFonts w:ascii="Arial" w:hAnsi="Arial" w:cs="Arial"/>
        </w:rPr>
        <w:t>plir con las metas y los plazos</w:t>
      </w:r>
      <w:r w:rsidR="00CE1BE1" w:rsidRPr="00172AAD">
        <w:footnoteReference w:id="9"/>
      </w:r>
      <w:sdt>
        <w:sdtPr>
          <w:rPr>
            <w:rFonts w:ascii="Arial" w:hAnsi="Arial" w:cs="Arial"/>
          </w:rPr>
          <w:id w:val="2376965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 w:rsidR="00CE1BE1">
            <w:rPr>
              <w:rFonts w:ascii="Arial" w:hAnsi="Arial" w:cs="Arial"/>
            </w:rPr>
            <w:instrText xml:space="preserve"> CITATION Lay15 \p 53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(Layton, 2015, pág. 53)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 w:rsidR="00097F45">
        <w:rPr>
          <w:rFonts w:ascii="Arial" w:hAnsi="Arial" w:cs="Arial"/>
        </w:rPr>
        <w:t>, con lo que las necesidades de satisfacción laboral de los Mil</w:t>
      </w:r>
      <w:r w:rsidR="00D35B25">
        <w:rPr>
          <w:rFonts w:ascii="Arial" w:hAnsi="Arial" w:cs="Arial"/>
        </w:rPr>
        <w:t>l</w:t>
      </w:r>
      <w:r w:rsidR="00097F45">
        <w:rPr>
          <w:rFonts w:ascii="Arial" w:hAnsi="Arial" w:cs="Arial"/>
        </w:rPr>
        <w:t>e</w:t>
      </w:r>
      <w:r w:rsidR="00D35B25">
        <w:rPr>
          <w:rFonts w:ascii="Arial" w:hAnsi="Arial" w:cs="Arial"/>
        </w:rPr>
        <w:t>n</w:t>
      </w:r>
      <w:r w:rsidR="00097F45">
        <w:rPr>
          <w:rFonts w:ascii="Arial" w:hAnsi="Arial" w:cs="Arial"/>
        </w:rPr>
        <w:t>nials</w:t>
      </w:r>
      <w:r w:rsidR="00097F45" w:rsidRPr="00097F45">
        <w:rPr>
          <w:rFonts w:ascii="Arial" w:hAnsi="Arial" w:cs="Arial"/>
        </w:rPr>
        <w:t>son diametralmente opuestas a la realidad de la burocrática organización de la escuela pública</w:t>
      </w:r>
      <w:r w:rsidR="00097F45" w:rsidRPr="00172AAD">
        <w:footnoteReference w:id="10"/>
      </w:r>
      <w:sdt>
        <w:sdtPr>
          <w:rPr>
            <w:rFonts w:ascii="Arial" w:hAnsi="Arial" w:cs="Arial"/>
          </w:rPr>
          <w:id w:val="2376966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 w:rsidR="00097F45">
            <w:rPr>
              <w:rFonts w:ascii="Arial" w:hAnsi="Arial" w:cs="Arial"/>
            </w:rPr>
            <w:instrText xml:space="preserve"> CITATION Lay15 \p 55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(Layton, 2015, pág. 55)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 w:rsidR="003E028A">
        <w:rPr>
          <w:rFonts w:ascii="Arial" w:hAnsi="Arial" w:cs="Arial"/>
        </w:rPr>
        <w:t>. Es</w:t>
      </w:r>
      <w:r w:rsidR="00265895">
        <w:rPr>
          <w:rFonts w:ascii="Arial" w:hAnsi="Arial" w:cs="Arial"/>
        </w:rPr>
        <w:t>ta</w:t>
      </w:r>
      <w:r w:rsidR="003E028A">
        <w:rPr>
          <w:rFonts w:ascii="Arial" w:hAnsi="Arial" w:cs="Arial"/>
        </w:rPr>
        <w:t xml:space="preserve"> característica en especial es lo que induce a la generación mil</w:t>
      </w:r>
      <w:r w:rsidR="00D35B25">
        <w:rPr>
          <w:rFonts w:ascii="Arial" w:hAnsi="Arial" w:cs="Arial"/>
        </w:rPr>
        <w:t>l</w:t>
      </w:r>
      <w:r w:rsidR="003E028A">
        <w:rPr>
          <w:rFonts w:ascii="Arial" w:hAnsi="Arial" w:cs="Arial"/>
        </w:rPr>
        <w:t>e</w:t>
      </w:r>
      <w:r w:rsidR="00D35B25">
        <w:rPr>
          <w:rFonts w:ascii="Arial" w:hAnsi="Arial" w:cs="Arial"/>
        </w:rPr>
        <w:t>n</w:t>
      </w:r>
      <w:r w:rsidR="003E028A">
        <w:rPr>
          <w:rFonts w:ascii="Arial" w:hAnsi="Arial" w:cs="Arial"/>
        </w:rPr>
        <w:t>nials a establecer nuevas formas en la dinámica de las instituciones y organizaciones a las que se incorporan</w:t>
      </w:r>
      <w:r w:rsidR="00265895">
        <w:rPr>
          <w:rFonts w:ascii="Arial" w:hAnsi="Arial" w:cs="Arial"/>
        </w:rPr>
        <w:t xml:space="preserve"> puesto que l</w:t>
      </w:r>
      <w:r w:rsidR="00265895" w:rsidRPr="00265895">
        <w:rPr>
          <w:rFonts w:ascii="Arial" w:hAnsi="Arial" w:cs="Arial"/>
        </w:rPr>
        <w:t>os profesores de la Generación Y no tienen miedo al cambio o a la innovación</w:t>
      </w:r>
      <w:r w:rsidR="00265895" w:rsidRPr="00172AAD">
        <w:footnoteReference w:id="11"/>
      </w:r>
      <w:sdt>
        <w:sdtPr>
          <w:rPr>
            <w:rFonts w:ascii="Arial" w:hAnsi="Arial" w:cs="Arial"/>
          </w:rPr>
          <w:id w:val="2376969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 w:rsidR="00265895">
            <w:rPr>
              <w:rFonts w:ascii="Arial" w:hAnsi="Arial" w:cs="Arial"/>
            </w:rPr>
            <w:instrText xml:space="preserve"> CITATION Wil10 \p 2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(Williamson &amp; Meyer-Looze, 2010, pág. 2)</w:t>
          </w:r>
          <w:r w:rsidR="0064162D">
            <w:rPr>
              <w:rFonts w:ascii="Arial" w:hAnsi="Arial" w:cs="Arial"/>
            </w:rPr>
            <w:fldChar w:fldCharType="end"/>
          </w:r>
        </w:sdtContent>
      </w:sdt>
    </w:p>
    <w:p w:rsidR="005A30A6" w:rsidRPr="00097F45" w:rsidRDefault="005A30A6" w:rsidP="00172AAD">
      <w:pPr>
        <w:spacing w:line="360" w:lineRule="auto"/>
        <w:jc w:val="both"/>
        <w:rPr>
          <w:rFonts w:ascii="Arial" w:hAnsi="Arial" w:cs="Arial"/>
          <w:b/>
        </w:rPr>
      </w:pPr>
      <w:r w:rsidRPr="00097F45">
        <w:rPr>
          <w:rFonts w:ascii="Arial" w:hAnsi="Arial" w:cs="Arial"/>
          <w:b/>
        </w:rPr>
        <w:t>Conclusiones</w:t>
      </w:r>
    </w:p>
    <w:p w:rsidR="00172AAD" w:rsidRPr="00172AAD" w:rsidRDefault="003E1F49" w:rsidP="00172AAD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La generación de los Mil</w:t>
      </w:r>
      <w:r w:rsidR="00D35B2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D35B25">
        <w:rPr>
          <w:rFonts w:ascii="Arial" w:hAnsi="Arial" w:cs="Arial"/>
        </w:rPr>
        <w:t>n</w:t>
      </w:r>
      <w:r w:rsidR="00172AAD">
        <w:rPr>
          <w:rFonts w:ascii="Arial" w:hAnsi="Arial" w:cs="Arial"/>
        </w:rPr>
        <w:t>nials sin duda se encuentra</w:t>
      </w:r>
      <w:r>
        <w:rPr>
          <w:rFonts w:ascii="Arial" w:hAnsi="Arial" w:cs="Arial"/>
        </w:rPr>
        <w:t xml:space="preserve"> cambiando el paradigma de la metodología de la enseñanza en la actualidad</w:t>
      </w:r>
      <w:r w:rsidR="00172A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puesto que poseen características que los distinguen tanto de sus predecesores como de sus sucesores. No obstante esto</w:t>
      </w:r>
      <w:r w:rsidR="00172A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los cambios a los que se han </w:t>
      </w:r>
      <w:r w:rsidR="00172AAD">
        <w:rPr>
          <w:rFonts w:ascii="Arial" w:hAnsi="Arial" w:cs="Arial"/>
        </w:rPr>
        <w:t>enfrentado</w:t>
      </w:r>
      <w:r>
        <w:rPr>
          <w:rFonts w:ascii="Arial" w:hAnsi="Arial" w:cs="Arial"/>
        </w:rPr>
        <w:t xml:space="preserve"> en tiempo más reducidos que otras generaciones se encuentran dispuestos a atender las necesidades de las generaciones próximas instalando un paradigma que gira en torno a la creatividad</w:t>
      </w:r>
      <w:r w:rsidR="00172A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la innov</w:t>
      </w:r>
      <w:r w:rsidR="003C0AB9">
        <w:rPr>
          <w:rFonts w:ascii="Arial" w:hAnsi="Arial" w:cs="Arial"/>
        </w:rPr>
        <w:t>ación en los distintos campos de conocimiento en los que se desempeñan, involucrando la creación de nuevas estructuras para la administración de instituciones y organizaciones en las que se insertan.</w:t>
      </w:r>
      <w:r w:rsidR="00FB5DA5">
        <w:rPr>
          <w:rFonts w:ascii="Arial" w:hAnsi="Arial" w:cs="Arial"/>
        </w:rPr>
        <w:t xml:space="preserve"> Aun así</w:t>
      </w:r>
      <w:r w:rsidR="00172AAD">
        <w:rPr>
          <w:rFonts w:ascii="Arial" w:hAnsi="Arial" w:cs="Arial"/>
        </w:rPr>
        <w:t>,</w:t>
      </w:r>
      <w:r w:rsidR="00FB5DA5">
        <w:rPr>
          <w:rFonts w:ascii="Arial" w:hAnsi="Arial" w:cs="Arial"/>
        </w:rPr>
        <w:t xml:space="preserve"> y p</w:t>
      </w:r>
      <w:r w:rsidR="00172AAD">
        <w:rPr>
          <w:rFonts w:ascii="Arial" w:hAnsi="Arial" w:cs="Arial"/>
        </w:rPr>
        <w:t>ara retener a los m</w:t>
      </w:r>
      <w:r w:rsidR="00FB5DA5" w:rsidRPr="00FB5DA5">
        <w:rPr>
          <w:rFonts w:ascii="Arial" w:hAnsi="Arial" w:cs="Arial"/>
        </w:rPr>
        <w:t>illennials dentro de una organización, los empleadores tienen que re</w:t>
      </w:r>
      <w:r w:rsidR="00172AAD">
        <w:rPr>
          <w:rFonts w:ascii="Arial" w:hAnsi="Arial" w:cs="Arial"/>
        </w:rPr>
        <w:t>conocer la importancia que los m</w:t>
      </w:r>
      <w:r w:rsidR="00FB5DA5" w:rsidRPr="00FB5DA5">
        <w:rPr>
          <w:rFonts w:ascii="Arial" w:hAnsi="Arial" w:cs="Arial"/>
        </w:rPr>
        <w:t>illennials dan a las relaciones y al equilibrio entre el trabajo y la vida personal</w:t>
      </w:r>
      <w:r w:rsidR="00FB5DA5" w:rsidRPr="00172AAD">
        <w:footnoteReference w:id="12"/>
      </w:r>
      <w:sdt>
        <w:sdtPr>
          <w:rPr>
            <w:rFonts w:ascii="Arial" w:hAnsi="Arial" w:cs="Arial"/>
          </w:rPr>
          <w:id w:val="2376973"/>
          <w:citation/>
        </w:sdtPr>
        <w:sdtEndPr/>
        <w:sdtContent>
          <w:r w:rsidR="0064162D">
            <w:rPr>
              <w:rFonts w:ascii="Arial" w:hAnsi="Arial" w:cs="Arial"/>
            </w:rPr>
            <w:fldChar w:fldCharType="begin"/>
          </w:r>
          <w:r w:rsidR="00FB5DA5">
            <w:rPr>
              <w:rFonts w:ascii="Arial" w:hAnsi="Arial" w:cs="Arial"/>
            </w:rPr>
            <w:instrText xml:space="preserve"> CITATION Lay15 \p 54 \l 11274  </w:instrText>
          </w:r>
          <w:r w:rsidR="0064162D">
            <w:rPr>
              <w:rFonts w:ascii="Arial" w:hAnsi="Arial" w:cs="Arial"/>
            </w:rPr>
            <w:fldChar w:fldCharType="separate"/>
          </w:r>
          <w:r w:rsidR="00D35B25" w:rsidRPr="00D35B25">
            <w:rPr>
              <w:rFonts w:ascii="Arial" w:hAnsi="Arial" w:cs="Arial"/>
            </w:rPr>
            <w:t>(Layton, 2015, pág. 54)</w:t>
          </w:r>
          <w:r w:rsidR="0064162D">
            <w:rPr>
              <w:rFonts w:ascii="Arial" w:hAnsi="Arial" w:cs="Arial"/>
            </w:rPr>
            <w:fldChar w:fldCharType="end"/>
          </w:r>
        </w:sdtContent>
      </w:sdt>
      <w:r w:rsidR="00FB5DA5">
        <w:rPr>
          <w:rFonts w:ascii="Arial" w:hAnsi="Arial" w:cs="Arial"/>
        </w:rPr>
        <w:t>.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AR" w:eastAsia="es-AR"/>
        </w:rPr>
        <w:id w:val="14005873"/>
        <w:docPartObj>
          <w:docPartGallery w:val="Bibliographies"/>
          <w:docPartUnique/>
        </w:docPartObj>
      </w:sdtPr>
      <w:sdtEndPr/>
      <w:sdtContent>
        <w:p w:rsidR="00D35B25" w:rsidRDefault="00D35B25" w:rsidP="00172AAD">
          <w:pPr>
            <w:pStyle w:val="Ttulo1"/>
            <w:jc w:val="both"/>
          </w:pPr>
          <w:r w:rsidRPr="00D35B25">
            <w:rPr>
              <w:color w:val="auto"/>
            </w:rPr>
            <w:t>Referencias bibliográficas</w:t>
          </w:r>
        </w:p>
        <w:p w:rsidR="00D35B25" w:rsidRPr="00D35B25" w:rsidRDefault="0064162D" w:rsidP="00172AAD">
          <w:pPr>
            <w:pStyle w:val="Bibliografa"/>
            <w:jc w:val="both"/>
            <w:rPr>
              <w:noProof/>
              <w:lang w:val="en-US"/>
            </w:rPr>
          </w:pPr>
          <w:r>
            <w:rPr>
              <w:lang w:val="es-ES"/>
            </w:rPr>
            <w:fldChar w:fldCharType="begin"/>
          </w:r>
          <w:r w:rsidR="00D35B25" w:rsidRPr="00F55A23">
            <w:instrText xml:space="preserve"> BIBLIOGRAPHY </w:instrText>
          </w:r>
          <w:r>
            <w:rPr>
              <w:lang w:val="es-ES"/>
            </w:rPr>
            <w:fldChar w:fldCharType="separate"/>
          </w:r>
          <w:r w:rsidR="00D35B25" w:rsidRPr="00F55A23">
            <w:rPr>
              <w:noProof/>
            </w:rPr>
            <w:t xml:space="preserve">Bartz, D., Thompson, K., &amp; Rice, P. (2017). </w:t>
          </w:r>
          <w:r w:rsidR="00D35B25" w:rsidRPr="00D35B25">
            <w:rPr>
              <w:noProof/>
              <w:lang w:val="en-US"/>
            </w:rPr>
            <w:t xml:space="preserve">Enhancing the Effectivenessof Millennials TeachersThrough Principals Using Performance Management. </w:t>
          </w:r>
          <w:r w:rsidR="00D35B25" w:rsidRPr="00D35B25">
            <w:rPr>
              <w:i/>
              <w:iCs/>
              <w:noProof/>
              <w:lang w:val="en-US"/>
            </w:rPr>
            <w:t>National Forum of Education Administration and Supervision Journal, 35</w:t>
          </w:r>
          <w:r w:rsidR="00D35B25" w:rsidRPr="00D35B25">
            <w:rPr>
              <w:noProof/>
              <w:lang w:val="en-US"/>
            </w:rPr>
            <w:t xml:space="preserve"> (4), 1-9.</w:t>
          </w:r>
        </w:p>
        <w:p w:rsidR="00D35B25" w:rsidRDefault="00D35B25" w:rsidP="00172AAD">
          <w:pPr>
            <w:pStyle w:val="Bibliografa"/>
            <w:jc w:val="both"/>
            <w:rPr>
              <w:noProof/>
              <w:lang w:val="es-ES"/>
            </w:rPr>
          </w:pPr>
          <w:r w:rsidRPr="00D35B25">
            <w:rPr>
              <w:noProof/>
              <w:lang w:val="en-US"/>
            </w:rPr>
            <w:t xml:space="preserve">Cataldi, Z., &amp; Dominighini, C. (2015). </w:t>
          </w:r>
          <w:r>
            <w:rPr>
              <w:noProof/>
              <w:lang w:val="es-ES"/>
            </w:rPr>
            <w:t xml:space="preserve">La generación millennial y la educación superior. Los retos de un nuevo paradigma. </w:t>
          </w:r>
          <w:r>
            <w:rPr>
              <w:i/>
              <w:iCs/>
              <w:noProof/>
              <w:lang w:val="es-ES"/>
            </w:rPr>
            <w:t>Revista de Informática Educativa y Medios Audiovisuales, 12</w:t>
          </w:r>
          <w:r>
            <w:rPr>
              <w:noProof/>
              <w:lang w:val="es-ES"/>
            </w:rPr>
            <w:t xml:space="preserve"> (19), 14-21.</w:t>
          </w:r>
        </w:p>
        <w:p w:rsidR="00D35B25" w:rsidRPr="00D35B25" w:rsidRDefault="00D35B25" w:rsidP="00172AAD">
          <w:pPr>
            <w:pStyle w:val="Bibliografa"/>
            <w:jc w:val="both"/>
            <w:rPr>
              <w:noProof/>
              <w:lang w:val="en-US"/>
            </w:rPr>
          </w:pPr>
          <w:r w:rsidRPr="00D35B25">
            <w:rPr>
              <w:noProof/>
              <w:lang w:val="en-US"/>
            </w:rPr>
            <w:t xml:space="preserve">Layton, D. L. (2015). </w:t>
          </w:r>
          <w:r w:rsidRPr="00D35B25">
            <w:rPr>
              <w:i/>
              <w:iCs/>
              <w:noProof/>
              <w:lang w:val="en-US"/>
            </w:rPr>
            <w:t>Perceptions of Millennial Teacher´s Commitment to Teaching as a Career.</w:t>
          </w:r>
          <w:r w:rsidRPr="00D35B25">
            <w:rPr>
              <w:noProof/>
              <w:lang w:val="en-US"/>
            </w:rPr>
            <w:t xml:space="preserve"> United Kingdom: scholarworks.uark.edu.</w:t>
          </w:r>
        </w:p>
        <w:p w:rsidR="00D35B25" w:rsidRPr="00F55A23" w:rsidRDefault="00D35B25" w:rsidP="00172AAD">
          <w:pPr>
            <w:pStyle w:val="Bibliografa"/>
            <w:jc w:val="both"/>
            <w:rPr>
              <w:noProof/>
              <w:lang w:val="en-US"/>
            </w:rPr>
          </w:pPr>
          <w:r w:rsidRPr="00D35B25">
            <w:rPr>
              <w:noProof/>
              <w:lang w:val="en-US"/>
            </w:rPr>
            <w:t xml:space="preserve">National Comprehensive Center for Teacher Quality. (2009). </w:t>
          </w:r>
          <w:r w:rsidRPr="00D35B25">
            <w:rPr>
              <w:i/>
              <w:iCs/>
              <w:noProof/>
              <w:lang w:val="en-US"/>
            </w:rPr>
            <w:t>Leading Gen Y Teachers: Emerging Strategies for School Leaders.</w:t>
          </w:r>
          <w:r w:rsidRPr="00F55A23">
            <w:rPr>
              <w:noProof/>
              <w:lang w:val="en-US"/>
            </w:rPr>
            <w:t>Washington: Vanderbilt University.</w:t>
          </w:r>
        </w:p>
        <w:p w:rsidR="00D35B25" w:rsidRDefault="00D35B25" w:rsidP="00172AAD">
          <w:pPr>
            <w:pStyle w:val="Bibliografa"/>
            <w:jc w:val="both"/>
            <w:rPr>
              <w:noProof/>
              <w:lang w:val="es-ES"/>
            </w:rPr>
          </w:pPr>
          <w:r>
            <w:rPr>
              <w:noProof/>
              <w:lang w:val="es-ES"/>
            </w:rPr>
            <w:t xml:space="preserve">Pedrozo Flores, R. (2018). La universidad 4.0 con currículum inteligente 1.0 en la cuarta revolución industrial. </w:t>
          </w:r>
          <w:r>
            <w:rPr>
              <w:i/>
              <w:iCs/>
              <w:noProof/>
              <w:lang w:val="es-ES"/>
            </w:rPr>
            <w:t>Revista Iberoamericana para la Investigación y el Desarrollo Educativo, 9</w:t>
          </w:r>
          <w:r>
            <w:rPr>
              <w:noProof/>
              <w:lang w:val="es-ES"/>
            </w:rPr>
            <w:t xml:space="preserve"> (17).</w:t>
          </w:r>
        </w:p>
        <w:p w:rsidR="00D35B25" w:rsidRPr="00D35B25" w:rsidRDefault="00D35B25" w:rsidP="00172AAD">
          <w:pPr>
            <w:pStyle w:val="Bibliografa"/>
            <w:jc w:val="both"/>
            <w:rPr>
              <w:noProof/>
              <w:lang w:val="en-US"/>
            </w:rPr>
          </w:pPr>
          <w:r>
            <w:rPr>
              <w:noProof/>
              <w:lang w:val="es-ES"/>
            </w:rPr>
            <w:t xml:space="preserve">Vela-Valldecabres, D. (2010). Prolegómenosde la Generación X. Algunas manifestaciones cinematográficas. </w:t>
          </w:r>
          <w:r w:rsidRPr="00D35B25">
            <w:rPr>
              <w:i/>
              <w:iCs/>
              <w:noProof/>
              <w:lang w:val="en-US"/>
            </w:rPr>
            <w:t>Palabra Clave, 13</w:t>
          </w:r>
          <w:r w:rsidRPr="00D35B25">
            <w:rPr>
              <w:noProof/>
              <w:lang w:val="en-US"/>
            </w:rPr>
            <w:t xml:space="preserve"> (2), 369-386.</w:t>
          </w:r>
        </w:p>
        <w:p w:rsidR="00D35B25" w:rsidRDefault="00D35B25" w:rsidP="00172AAD">
          <w:pPr>
            <w:pStyle w:val="Bibliografa"/>
            <w:jc w:val="both"/>
            <w:rPr>
              <w:noProof/>
              <w:lang w:val="es-ES"/>
            </w:rPr>
          </w:pPr>
          <w:r w:rsidRPr="00D35B25">
            <w:rPr>
              <w:noProof/>
              <w:lang w:val="en-US"/>
            </w:rPr>
            <w:t xml:space="preserve">Williamson, R., &amp; Meyer-Looze, C. (2010). Working with Gen Y Teachers: Dealing with a Changing Teacher Workforce. </w:t>
          </w:r>
          <w:r>
            <w:rPr>
              <w:noProof/>
              <w:lang w:val="es-ES"/>
            </w:rPr>
            <w:t>Michigan: Education Partnerships, Inc.</w:t>
          </w:r>
        </w:p>
        <w:p w:rsidR="00D35B25" w:rsidRDefault="0064162D" w:rsidP="00172AAD">
          <w:pPr>
            <w:jc w:val="both"/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645F94" w:rsidRDefault="00645F94" w:rsidP="00172AAD">
      <w:pPr>
        <w:jc w:val="both"/>
        <w:rPr>
          <w:lang w:val="es-ES"/>
        </w:rPr>
      </w:pPr>
    </w:p>
    <w:p w:rsidR="00DA3BE6" w:rsidRPr="00731E23" w:rsidRDefault="00DA3BE6" w:rsidP="00172AAD">
      <w:pPr>
        <w:spacing w:line="360" w:lineRule="auto"/>
        <w:jc w:val="both"/>
        <w:rPr>
          <w:rFonts w:ascii="Arial" w:hAnsi="Arial" w:cs="Arial"/>
          <w:lang w:val="en-US"/>
        </w:rPr>
      </w:pPr>
    </w:p>
    <w:sectPr w:rsidR="00DA3BE6" w:rsidRPr="00731E23" w:rsidSect="00BC1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58" w:rsidRDefault="00701F58" w:rsidP="00766946">
      <w:pPr>
        <w:spacing w:after="0" w:line="240" w:lineRule="auto"/>
      </w:pPr>
      <w:r>
        <w:separator/>
      </w:r>
    </w:p>
  </w:endnote>
  <w:endnote w:type="continuationSeparator" w:id="0">
    <w:p w:rsidR="00701F58" w:rsidRDefault="00701F58" w:rsidP="0076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58" w:rsidRDefault="00701F58" w:rsidP="00766946">
      <w:pPr>
        <w:spacing w:after="0" w:line="240" w:lineRule="auto"/>
      </w:pPr>
      <w:r>
        <w:separator/>
      </w:r>
    </w:p>
  </w:footnote>
  <w:footnote w:type="continuationSeparator" w:id="0">
    <w:p w:rsidR="00701F58" w:rsidRDefault="00701F58" w:rsidP="00766946">
      <w:pPr>
        <w:spacing w:after="0" w:line="240" w:lineRule="auto"/>
      </w:pPr>
      <w:r>
        <w:continuationSeparator/>
      </w:r>
    </w:p>
  </w:footnote>
  <w:footnote w:id="1">
    <w:p w:rsidR="0031579C" w:rsidRDefault="0031579C">
      <w:pPr>
        <w:pStyle w:val="Textonotapie"/>
      </w:pPr>
      <w:r>
        <w:rPr>
          <w:rStyle w:val="Refdenotaalpie"/>
        </w:rPr>
        <w:footnoteRef/>
      </w:r>
      <w:r>
        <w:t xml:space="preserve"> Traducción de los autores.</w:t>
      </w:r>
    </w:p>
  </w:footnote>
  <w:footnote w:id="2">
    <w:p w:rsidR="00766946" w:rsidRDefault="00766946">
      <w:pPr>
        <w:pStyle w:val="Textonotapie"/>
      </w:pPr>
      <w:r>
        <w:rPr>
          <w:rStyle w:val="Refdenotaalpie"/>
        </w:rPr>
        <w:footnoteRef/>
      </w:r>
      <w:r>
        <w:t xml:space="preserve"> Traducción de los autores.</w:t>
      </w:r>
    </w:p>
  </w:footnote>
  <w:footnote w:id="3">
    <w:p w:rsidR="001254FA" w:rsidRDefault="001254FA">
      <w:pPr>
        <w:pStyle w:val="Textonotapie"/>
      </w:pPr>
      <w:r>
        <w:rPr>
          <w:rStyle w:val="Refdenotaalpie"/>
        </w:rPr>
        <w:footnoteRef/>
      </w:r>
      <w:r>
        <w:t xml:space="preserve"> Traducción de los autores.</w:t>
      </w:r>
    </w:p>
  </w:footnote>
  <w:footnote w:id="4">
    <w:p w:rsidR="00205E48" w:rsidRDefault="00205E48">
      <w:pPr>
        <w:pStyle w:val="Textonotapie"/>
      </w:pPr>
      <w:r>
        <w:rPr>
          <w:rStyle w:val="Refdenotaalpie"/>
        </w:rPr>
        <w:footnoteRef/>
      </w:r>
      <w:r>
        <w:t xml:space="preserve"> Traducción de los autores.</w:t>
      </w:r>
    </w:p>
  </w:footnote>
  <w:footnote w:id="5">
    <w:p w:rsidR="00376374" w:rsidRDefault="00376374">
      <w:pPr>
        <w:pStyle w:val="Textonotapie"/>
      </w:pPr>
      <w:r>
        <w:rPr>
          <w:rStyle w:val="Refdenotaalpie"/>
        </w:rPr>
        <w:footnoteRef/>
      </w:r>
      <w:r>
        <w:t xml:space="preserve"> Traducción de los autores.</w:t>
      </w:r>
    </w:p>
  </w:footnote>
  <w:footnote w:id="6">
    <w:p w:rsidR="007F327E" w:rsidRDefault="007F327E">
      <w:pPr>
        <w:pStyle w:val="Textonotapie"/>
      </w:pPr>
      <w:r>
        <w:rPr>
          <w:rStyle w:val="Refdenotaalpie"/>
        </w:rPr>
        <w:footnoteRef/>
      </w:r>
      <w:r>
        <w:t xml:space="preserve"> Traducción de los autores.</w:t>
      </w:r>
    </w:p>
  </w:footnote>
  <w:footnote w:id="7">
    <w:p w:rsidR="00D737C7" w:rsidRDefault="00D737C7">
      <w:pPr>
        <w:pStyle w:val="Textonotapie"/>
      </w:pPr>
      <w:r>
        <w:rPr>
          <w:rStyle w:val="Refdenotaalpie"/>
        </w:rPr>
        <w:footnoteRef/>
      </w:r>
      <w:r>
        <w:t xml:space="preserve"> Traducción de los autores.</w:t>
      </w:r>
    </w:p>
  </w:footnote>
  <w:footnote w:id="8">
    <w:p w:rsidR="007F6386" w:rsidRDefault="007F6386">
      <w:pPr>
        <w:pStyle w:val="Textonotapie"/>
      </w:pPr>
      <w:r>
        <w:rPr>
          <w:rStyle w:val="Refdenotaalpie"/>
        </w:rPr>
        <w:footnoteRef/>
      </w:r>
      <w:r>
        <w:t xml:space="preserve"> Traducción de los autores.</w:t>
      </w:r>
    </w:p>
  </w:footnote>
  <w:footnote w:id="9">
    <w:p w:rsidR="00CE1BE1" w:rsidRDefault="00CE1BE1">
      <w:pPr>
        <w:pStyle w:val="Textonotapie"/>
      </w:pPr>
      <w:r>
        <w:rPr>
          <w:rStyle w:val="Refdenotaalpie"/>
        </w:rPr>
        <w:footnoteRef/>
      </w:r>
      <w:r>
        <w:t xml:space="preserve"> Traducción de los autores.</w:t>
      </w:r>
    </w:p>
  </w:footnote>
  <w:footnote w:id="10">
    <w:p w:rsidR="00097F45" w:rsidRDefault="00097F45">
      <w:pPr>
        <w:pStyle w:val="Textonotapie"/>
      </w:pPr>
      <w:r>
        <w:rPr>
          <w:rStyle w:val="Refdenotaalpie"/>
        </w:rPr>
        <w:footnoteRef/>
      </w:r>
      <w:r>
        <w:t xml:space="preserve"> Traducción de los autores.</w:t>
      </w:r>
    </w:p>
  </w:footnote>
  <w:footnote w:id="11">
    <w:p w:rsidR="00265895" w:rsidRDefault="00265895">
      <w:pPr>
        <w:pStyle w:val="Textonotapie"/>
      </w:pPr>
      <w:r>
        <w:rPr>
          <w:rStyle w:val="Refdenotaalpie"/>
        </w:rPr>
        <w:footnoteRef/>
      </w:r>
      <w:r>
        <w:t xml:space="preserve"> Traducción de los autores.</w:t>
      </w:r>
    </w:p>
  </w:footnote>
  <w:footnote w:id="12">
    <w:p w:rsidR="00FB5DA5" w:rsidRDefault="00FB5DA5">
      <w:pPr>
        <w:pStyle w:val="Textonotapie"/>
      </w:pPr>
      <w:r>
        <w:rPr>
          <w:rStyle w:val="Refdenotaalpie"/>
        </w:rPr>
        <w:footnoteRef/>
      </w:r>
      <w:r>
        <w:t xml:space="preserve"> Traducción de los autores.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A070E"/>
    <w:multiLevelType w:val="hybridMultilevel"/>
    <w:tmpl w:val="BC36DB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2D5C"/>
    <w:rsid w:val="000053F8"/>
    <w:rsid w:val="000361DA"/>
    <w:rsid w:val="00037DA0"/>
    <w:rsid w:val="0009169A"/>
    <w:rsid w:val="00097F45"/>
    <w:rsid w:val="000E4A27"/>
    <w:rsid w:val="000F27D5"/>
    <w:rsid w:val="001254FA"/>
    <w:rsid w:val="00142656"/>
    <w:rsid w:val="0015203E"/>
    <w:rsid w:val="00154216"/>
    <w:rsid w:val="0015723C"/>
    <w:rsid w:val="00172AAD"/>
    <w:rsid w:val="00197E71"/>
    <w:rsid w:val="001B33E4"/>
    <w:rsid w:val="001B6B62"/>
    <w:rsid w:val="001C683E"/>
    <w:rsid w:val="001F7A42"/>
    <w:rsid w:val="00205B35"/>
    <w:rsid w:val="00205E48"/>
    <w:rsid w:val="002641E7"/>
    <w:rsid w:val="00265895"/>
    <w:rsid w:val="00282DF7"/>
    <w:rsid w:val="00285ED8"/>
    <w:rsid w:val="0031579C"/>
    <w:rsid w:val="0033642F"/>
    <w:rsid w:val="00355EBE"/>
    <w:rsid w:val="00376374"/>
    <w:rsid w:val="003B5475"/>
    <w:rsid w:val="003C0AB9"/>
    <w:rsid w:val="003E028A"/>
    <w:rsid w:val="003E1F49"/>
    <w:rsid w:val="003F420B"/>
    <w:rsid w:val="00404489"/>
    <w:rsid w:val="00424CE1"/>
    <w:rsid w:val="0045488A"/>
    <w:rsid w:val="00460F10"/>
    <w:rsid w:val="004711B6"/>
    <w:rsid w:val="005477CE"/>
    <w:rsid w:val="005A30A6"/>
    <w:rsid w:val="005C229B"/>
    <w:rsid w:val="005D2D40"/>
    <w:rsid w:val="005E0446"/>
    <w:rsid w:val="005E2868"/>
    <w:rsid w:val="0064162D"/>
    <w:rsid w:val="00642515"/>
    <w:rsid w:val="00645F94"/>
    <w:rsid w:val="0065197A"/>
    <w:rsid w:val="00656F33"/>
    <w:rsid w:val="006A0BD9"/>
    <w:rsid w:val="006C49E6"/>
    <w:rsid w:val="00701F58"/>
    <w:rsid w:val="00731E23"/>
    <w:rsid w:val="00747FE5"/>
    <w:rsid w:val="00766946"/>
    <w:rsid w:val="00797B82"/>
    <w:rsid w:val="007C02A4"/>
    <w:rsid w:val="007F327E"/>
    <w:rsid w:val="007F6386"/>
    <w:rsid w:val="00816CC2"/>
    <w:rsid w:val="00892196"/>
    <w:rsid w:val="008D0B28"/>
    <w:rsid w:val="00921804"/>
    <w:rsid w:val="00923948"/>
    <w:rsid w:val="00946AEA"/>
    <w:rsid w:val="009478B6"/>
    <w:rsid w:val="009511FD"/>
    <w:rsid w:val="009B70F1"/>
    <w:rsid w:val="009D73A0"/>
    <w:rsid w:val="00A635EA"/>
    <w:rsid w:val="00AB49F8"/>
    <w:rsid w:val="00AD5E46"/>
    <w:rsid w:val="00AD789F"/>
    <w:rsid w:val="00B3121F"/>
    <w:rsid w:val="00B338BC"/>
    <w:rsid w:val="00BC1B3C"/>
    <w:rsid w:val="00BE6635"/>
    <w:rsid w:val="00C120ED"/>
    <w:rsid w:val="00C27903"/>
    <w:rsid w:val="00C7208E"/>
    <w:rsid w:val="00C77530"/>
    <w:rsid w:val="00C84386"/>
    <w:rsid w:val="00C90668"/>
    <w:rsid w:val="00CC7193"/>
    <w:rsid w:val="00CE1BE1"/>
    <w:rsid w:val="00D35293"/>
    <w:rsid w:val="00D35B25"/>
    <w:rsid w:val="00D737C7"/>
    <w:rsid w:val="00D85F3B"/>
    <w:rsid w:val="00DA3BE6"/>
    <w:rsid w:val="00DC2542"/>
    <w:rsid w:val="00DD7EBB"/>
    <w:rsid w:val="00E07F89"/>
    <w:rsid w:val="00E23F15"/>
    <w:rsid w:val="00E33439"/>
    <w:rsid w:val="00E339B9"/>
    <w:rsid w:val="00E52D5C"/>
    <w:rsid w:val="00E62123"/>
    <w:rsid w:val="00E90F04"/>
    <w:rsid w:val="00E94F44"/>
    <w:rsid w:val="00EC048B"/>
    <w:rsid w:val="00F0608B"/>
    <w:rsid w:val="00F23B94"/>
    <w:rsid w:val="00F55A23"/>
    <w:rsid w:val="00F61C63"/>
    <w:rsid w:val="00FA016C"/>
    <w:rsid w:val="00FB5DA5"/>
    <w:rsid w:val="00FF2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C3F586-3D69-434C-B396-C010AB70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62D"/>
  </w:style>
  <w:style w:type="paragraph" w:styleId="Ttulo1">
    <w:name w:val="heading 1"/>
    <w:basedOn w:val="Normal"/>
    <w:next w:val="Normal"/>
    <w:link w:val="Ttulo1Car"/>
    <w:uiPriority w:val="9"/>
    <w:qFormat/>
    <w:rsid w:val="00645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608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24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4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69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69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6946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AB49F8"/>
  </w:style>
  <w:style w:type="paragraph" w:styleId="Prrafodelista">
    <w:name w:val="List Paragraph"/>
    <w:basedOn w:val="Normal"/>
    <w:uiPriority w:val="34"/>
    <w:qFormat/>
    <w:rsid w:val="00B3121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45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Cat15</b:Tag>
    <b:SourceType>JournalArticle</b:SourceType>
    <b:Guid>{C798DD31-2529-4BD0-ADBB-4010AB162AC7}</b:Guid>
    <b:Author>
      <b:Author>
        <b:NameList>
          <b:Person>
            <b:Last>Cataldi</b:Last>
            <b:First>Zulma</b:First>
          </b:Person>
          <b:Person>
            <b:Last>Dominighini</b:Last>
            <b:First>Claudio</b:First>
          </b:Person>
        </b:NameList>
      </b:Author>
    </b:Author>
    <b:Title>La generación millennial y la educación superior. Los retos de un nuevo paradigma</b:Title>
    <b:Year>2015</b:Year>
    <b:Publisher>Laboratorio de Informática Educativa - Facultad de Ingeniería - Universidad de Buenos Aires</b:Publisher>
    <b:JournalName>Revista de Informática Educativa y Medios Audiovisuales</b:JournalName>
    <b:Pages>14-21</b:Pages>
    <b:Volume>12</b:Volume>
    <b:Issue>19</b:Issue>
    <b:RefOrder>2</b:RefOrder>
  </b:Source>
  <b:Source>
    <b:Tag>Lay15</b:Tag>
    <b:SourceType>Book</b:SourceType>
    <b:Guid>{B00E1E3D-91FA-46AC-B62A-DAC1ADAEAE8F}</b:Guid>
    <b:Author>
      <b:Author>
        <b:NameList>
          <b:Person>
            <b:Last>Layton</b:Last>
            <b:First>Deana</b:First>
            <b:Middle>Lyn</b:Middle>
          </b:Person>
        </b:NameList>
      </b:Author>
    </b:Author>
    <b:Title>Perceptions of Millennial Teacher´s Commitment to Teaching as a Career</b:Title>
    <b:Year>2015</b:Year>
    <b:City>United Kingdom</b:City>
    <b:Publisher>scholarworks.uark.edu</b:Publisher>
    <b:RefOrder>6</b:RefOrder>
  </b:Source>
  <b:Source>
    <b:Tag>Vel10</b:Tag>
    <b:SourceType>JournalArticle</b:SourceType>
    <b:Guid>{4C433AF1-9D85-4425-A9B5-7B019E608D13}</b:Guid>
    <b:Author>
      <b:Author>
        <b:NameList>
          <b:Person>
            <b:Last>Vela-Valldecabres</b:Last>
            <b:First>Daniel</b:First>
          </b:Person>
        </b:NameList>
      </b:Author>
    </b:Author>
    <b:Title>Prolegómenosde la Generación X. Algunas manifestaciones cinematográficas</b:Title>
    <b:Year>2010</b:Year>
    <b:JournalName>Palabra Clave</b:JournalName>
    <b:Pages>369-386</b:Pages>
    <b:Volume>13</b:Volume>
    <b:Issue>2</b:Issue>
    <b:RefOrder>1</b:RefOrder>
  </b:Source>
  <b:Source>
    <b:Tag>Nat09</b:Tag>
    <b:SourceType>Report</b:SourceType>
    <b:Guid>{403DE8B4-E777-495F-A731-C91C13447557}</b:Guid>
    <b:Author>
      <b:Author>
        <b:Corporate>National Comprehensive Center for Teacher Quality</b:Corporate>
      </b:Author>
    </b:Author>
    <b:Title>Leading Gen Y Teachers: Emerging Strategies for School Leaders</b:Title>
    <b:Year>2009</b:Year>
    <b:Publisher>Vanderbilt University</b:Publisher>
    <b:City>Washington</b:City>
    <b:RefOrder>4</b:RefOrder>
  </b:Source>
  <b:Source>
    <b:Tag>Bar172</b:Tag>
    <b:SourceType>JournalArticle</b:SourceType>
    <b:Guid>{643B6EAC-BF7A-4C5D-8AE7-A730DE9A1F1D}</b:Guid>
    <b:Author>
      <b:Author>
        <b:NameList>
          <b:Person>
            <b:Last>Bartz</b:Last>
            <b:First>David</b:First>
          </b:Person>
          <b:Person>
            <b:Last>Thompson</b:Last>
            <b:First>Kyle</b:First>
          </b:Person>
          <b:Person>
            <b:Last>Rice</b:Last>
            <b:First>Patrick</b:First>
          </b:Person>
        </b:NameList>
      </b:Author>
    </b:Author>
    <b:Title>Enhancing the Effectivenessof Millennials TeachersThrough Principals Using Performance Management</b:Title>
    <b:Year>2017</b:Year>
    <b:JournalName>National Forum of Education Administration and Supervision Journal</b:JournalName>
    <b:Pages>1-9</b:Pages>
    <b:Volume>35</b:Volume>
    <b:Issue>4</b:Issue>
    <b:RefOrder>5</b:RefOrder>
  </b:Source>
  <b:Source>
    <b:Tag>Wil10</b:Tag>
    <b:SourceType>Misc</b:SourceType>
    <b:Guid>{123A5279-972B-48E4-B2D3-82CAD6144283}</b:Guid>
    <b:Author>
      <b:Author>
        <b:NameList>
          <b:Person>
            <b:Last>Williamson</b:Last>
            <b:First>Ronald</b:First>
          </b:Person>
          <b:Person>
            <b:Last>Meyer-Looze</b:Last>
            <b:First>Catherine</b:First>
          </b:Person>
        </b:NameList>
      </b:Author>
    </b:Author>
    <b:Title>Working with Gen Y Teachers: Dealing with a Changing Teacher Workforce</b:Title>
    <b:JournalName>Education Partnership</b:JournalName>
    <b:Year>2010</b:Year>
    <b:City>Michigan</b:City>
    <b:Publisher>Education Partnerships, Inc</b:Publisher>
    <b:RefOrder>3</b:RefOrder>
  </b:Source>
  <b:Source>
    <b:Tag>Ped18</b:Tag>
    <b:SourceType>JournalArticle</b:SourceType>
    <b:Guid>{544B407A-A585-4D3D-8035-BE7897EF7C29}</b:Guid>
    <b:Author>
      <b:Author>
        <b:NameList>
          <b:Person>
            <b:Last>Pedrozo Flores</b:Last>
            <b:First>René</b:First>
          </b:Person>
        </b:NameList>
      </b:Author>
    </b:Author>
    <b:Title>La universidad 4.0 con currículum inteligente 1.0 en la cuarta revolución industrial</b:Title>
    <b:Year>2018</b:Year>
    <b:City>México</b:City>
    <b:Publisher>Universidad Autónoma del Estado de México</b:Publisher>
    <b:JournalName>Revista Iberoamericana para la Investigación y el Desarrollo Educativo</b:JournalName>
    <b:Volume>9</b:Volume>
    <b:Issue>17</b:Issue>
    <b:RefOrder>7</b:RefOrder>
  </b:Source>
</b:Sources>
</file>

<file path=customXml/itemProps1.xml><?xml version="1.0" encoding="utf-8"?>
<ds:datastoreItem xmlns:ds="http://schemas.openxmlformats.org/officeDocument/2006/customXml" ds:itemID="{82D42A1A-67D2-4CE5-A719-D388E36E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2314</Words>
  <Characters>12733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Fernández Sirerol</cp:lastModifiedBy>
  <cp:revision>2</cp:revision>
  <dcterms:created xsi:type="dcterms:W3CDTF">2020-03-11T12:15:00Z</dcterms:created>
  <dcterms:modified xsi:type="dcterms:W3CDTF">2020-03-11T12:15:00Z</dcterms:modified>
</cp:coreProperties>
</file>